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B5D84" w:rsidRDefault="00F92268" w:rsidP="00F246C7">
            <w:pPr>
              <w:pStyle w:val="RefTableData"/>
            </w:pPr>
            <w:r w:rsidRPr="00CB5D84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16A642" w:rsidR="00F92268" w:rsidRPr="00CB5D84" w:rsidRDefault="00CB5D84" w:rsidP="00F246C7">
            <w:pPr>
              <w:pStyle w:val="RefTableHeader"/>
            </w:pPr>
            <w:r w:rsidRPr="00CB5D84">
              <w:t>1891-A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EA648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B6A8F1A" w:rsidR="004B15BB" w:rsidRPr="00BD1CC1" w:rsidRDefault="00CB5D84" w:rsidP="00CB5D84">
      <w:pPr>
        <w:pStyle w:val="Heading1"/>
      </w:pPr>
      <w:r w:rsidRPr="00CB5D84">
        <w:t>Specialty Guideline Management</w:t>
      </w:r>
      <w:r w:rsidR="008C54D9" w:rsidRPr="00BD1CC1">
        <w:br/>
      </w:r>
      <w:r w:rsidR="005E5CF4">
        <w:t>Avastin and Biosim</w:t>
      </w:r>
      <w:r w:rsidR="00370A53">
        <w:t>i</w:t>
      </w:r>
      <w:r w:rsidR="005E5CF4">
        <w:t>lars</w:t>
      </w:r>
    </w:p>
    <w:p w14:paraId="78861C92" w14:textId="1D60DDF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6162CE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915C1">
        <w:t>Over</w:t>
      </w:r>
      <w:r w:rsidR="00CB523A">
        <w:t>-</w:t>
      </w:r>
      <w:r w:rsidR="00706B9B">
        <w:t>the</w:t>
      </w:r>
      <w:r w:rsidR="00CB523A">
        <w:t>-</w:t>
      </w:r>
      <w:r w:rsidR="00706B9B">
        <w:t>counter (</w:t>
      </w:r>
      <w:r w:rsidRPr="00BD1CC1">
        <w:t>OTC</w:t>
      </w:r>
      <w:r w:rsidR="00706B9B"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BD1CC1" w14:paraId="158421F8" w14:textId="77777777" w:rsidTr="00CB523A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BD1CC1" w:rsidRDefault="00252CE1" w:rsidP="00843FD5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BD1CC1" w:rsidRDefault="00252CE1" w:rsidP="00843FD5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CB523A">
        <w:trPr>
          <w:cantSplit/>
        </w:trPr>
        <w:tc>
          <w:tcPr>
            <w:tcW w:w="5340" w:type="dxa"/>
          </w:tcPr>
          <w:p w14:paraId="2D8FA8E3" w14:textId="0FA4DCC7" w:rsidR="00585FFF" w:rsidRPr="00BD1CC1" w:rsidRDefault="00CB5D84" w:rsidP="00843FD5">
            <w:pPr>
              <w:pStyle w:val="TableDataUnpadded"/>
            </w:pPr>
            <w:r w:rsidRPr="00CB5D84">
              <w:t>Avastin</w:t>
            </w:r>
          </w:p>
        </w:tc>
        <w:tc>
          <w:tcPr>
            <w:tcW w:w="5340" w:type="dxa"/>
          </w:tcPr>
          <w:p w14:paraId="7E26A004" w14:textId="7FA6C104" w:rsidR="00585FFF" w:rsidRPr="00BD1CC1" w:rsidRDefault="00CB5D84" w:rsidP="00843FD5">
            <w:pPr>
              <w:pStyle w:val="TableDataUnpadded"/>
            </w:pPr>
            <w:r>
              <w:t>bevacizumab</w:t>
            </w:r>
          </w:p>
        </w:tc>
      </w:tr>
      <w:tr w:rsidR="00D21D0C" w:rsidRPr="00BD1CC1" w14:paraId="79C2A122" w14:textId="77777777" w:rsidTr="00CB523A">
        <w:trPr>
          <w:cantSplit/>
        </w:trPr>
        <w:tc>
          <w:tcPr>
            <w:tcW w:w="5340" w:type="dxa"/>
          </w:tcPr>
          <w:p w14:paraId="08001603" w14:textId="5D29BB18" w:rsidR="00D21D0C" w:rsidRPr="00BD1CC1" w:rsidRDefault="00CB5D84" w:rsidP="00843FD5">
            <w:pPr>
              <w:pStyle w:val="TableDataUnpadded"/>
            </w:pPr>
            <w:r>
              <w:t>Alymsys</w:t>
            </w:r>
          </w:p>
        </w:tc>
        <w:tc>
          <w:tcPr>
            <w:tcW w:w="5340" w:type="dxa"/>
          </w:tcPr>
          <w:p w14:paraId="26C54A5D" w14:textId="444FA6BB" w:rsidR="00D21D0C" w:rsidRPr="00BD1CC1" w:rsidRDefault="00CB5D84" w:rsidP="00843FD5">
            <w:pPr>
              <w:pStyle w:val="TableDataUnpadded"/>
            </w:pPr>
            <w:r>
              <w:t>bevacizumab-</w:t>
            </w:r>
            <w:proofErr w:type="spellStart"/>
            <w:r>
              <w:t>maly</w:t>
            </w:r>
            <w:proofErr w:type="spellEnd"/>
          </w:p>
        </w:tc>
      </w:tr>
      <w:tr w:rsidR="00D21D0C" w:rsidRPr="00BD1CC1" w14:paraId="420A61B5" w14:textId="77777777" w:rsidTr="00CB523A">
        <w:trPr>
          <w:cantSplit/>
        </w:trPr>
        <w:tc>
          <w:tcPr>
            <w:tcW w:w="5340" w:type="dxa"/>
          </w:tcPr>
          <w:p w14:paraId="064084F6" w14:textId="65C1C5E7" w:rsidR="00D21D0C" w:rsidRPr="00BD1CC1" w:rsidRDefault="00CB5D84" w:rsidP="00843FD5">
            <w:pPr>
              <w:pStyle w:val="TableDataUnpadded"/>
            </w:pPr>
            <w:proofErr w:type="spellStart"/>
            <w:r>
              <w:t>Avzivi</w:t>
            </w:r>
            <w:proofErr w:type="spellEnd"/>
          </w:p>
        </w:tc>
        <w:tc>
          <w:tcPr>
            <w:tcW w:w="5340" w:type="dxa"/>
          </w:tcPr>
          <w:p w14:paraId="5BE6D872" w14:textId="70436FDB" w:rsidR="00D21D0C" w:rsidRPr="00BD1CC1" w:rsidRDefault="00CB5D84" w:rsidP="00843FD5">
            <w:pPr>
              <w:pStyle w:val="TableDataUnpadded"/>
            </w:pPr>
            <w:r>
              <w:t>bevacizumab-</w:t>
            </w:r>
            <w:proofErr w:type="spellStart"/>
            <w:r>
              <w:t>tnjn</w:t>
            </w:r>
            <w:proofErr w:type="spellEnd"/>
          </w:p>
        </w:tc>
      </w:tr>
      <w:tr w:rsidR="00E57671" w:rsidRPr="00BD1CC1" w14:paraId="68A56CF5" w14:textId="77777777" w:rsidTr="00CB523A">
        <w:trPr>
          <w:cantSplit/>
        </w:trPr>
        <w:tc>
          <w:tcPr>
            <w:tcW w:w="5340" w:type="dxa"/>
          </w:tcPr>
          <w:p w14:paraId="6FD1E28E" w14:textId="11E997E6" w:rsidR="00E57671" w:rsidRDefault="00E57671" w:rsidP="00843FD5">
            <w:pPr>
              <w:pStyle w:val="TableDataUnpadded"/>
            </w:pPr>
            <w:proofErr w:type="spellStart"/>
            <w:r>
              <w:t>Jobevne</w:t>
            </w:r>
            <w:proofErr w:type="spellEnd"/>
          </w:p>
        </w:tc>
        <w:tc>
          <w:tcPr>
            <w:tcW w:w="5340" w:type="dxa"/>
          </w:tcPr>
          <w:p w14:paraId="61ED5366" w14:textId="49750834" w:rsidR="00E57671" w:rsidRDefault="00E57671" w:rsidP="00843FD5">
            <w:pPr>
              <w:pStyle w:val="TableDataUnpadded"/>
            </w:pPr>
            <w:r w:rsidRPr="00C80895">
              <w:t>bevacizumab-</w:t>
            </w:r>
            <w:proofErr w:type="spellStart"/>
            <w:r w:rsidRPr="00C80895">
              <w:t>nwgd</w:t>
            </w:r>
            <w:proofErr w:type="spellEnd"/>
          </w:p>
        </w:tc>
      </w:tr>
      <w:tr w:rsidR="00E57671" w:rsidRPr="00BD1CC1" w14:paraId="00008D54" w14:textId="77777777" w:rsidTr="00CB523A">
        <w:trPr>
          <w:cantSplit/>
        </w:trPr>
        <w:tc>
          <w:tcPr>
            <w:tcW w:w="5340" w:type="dxa"/>
          </w:tcPr>
          <w:p w14:paraId="4B0EFE1D" w14:textId="626CD15F" w:rsidR="00E57671" w:rsidRDefault="00E57671" w:rsidP="00843FD5">
            <w:pPr>
              <w:pStyle w:val="TableDataUnpadded"/>
            </w:pPr>
            <w:proofErr w:type="spellStart"/>
            <w:r>
              <w:t>Mvasi</w:t>
            </w:r>
            <w:proofErr w:type="spellEnd"/>
          </w:p>
        </w:tc>
        <w:tc>
          <w:tcPr>
            <w:tcW w:w="5340" w:type="dxa"/>
          </w:tcPr>
          <w:p w14:paraId="193777ED" w14:textId="09402F92" w:rsidR="00E57671" w:rsidRDefault="00E57671" w:rsidP="00843FD5">
            <w:pPr>
              <w:pStyle w:val="TableDataUnpadded"/>
            </w:pPr>
            <w:r>
              <w:t>bevacizumab-</w:t>
            </w:r>
            <w:proofErr w:type="spellStart"/>
            <w:r>
              <w:t>awwb</w:t>
            </w:r>
            <w:proofErr w:type="spellEnd"/>
          </w:p>
        </w:tc>
      </w:tr>
      <w:tr w:rsidR="00E57671" w:rsidRPr="00BD1CC1" w14:paraId="1E0B6494" w14:textId="77777777" w:rsidTr="00CB523A">
        <w:trPr>
          <w:cantSplit/>
        </w:trPr>
        <w:tc>
          <w:tcPr>
            <w:tcW w:w="5340" w:type="dxa"/>
          </w:tcPr>
          <w:p w14:paraId="1C4736A6" w14:textId="2572DD8F" w:rsidR="00E57671" w:rsidRDefault="00E57671" w:rsidP="00843FD5">
            <w:pPr>
              <w:pStyle w:val="TableDataUnpadded"/>
            </w:pPr>
            <w:proofErr w:type="spellStart"/>
            <w:r>
              <w:t>Vegzelma</w:t>
            </w:r>
            <w:proofErr w:type="spellEnd"/>
          </w:p>
        </w:tc>
        <w:tc>
          <w:tcPr>
            <w:tcW w:w="5340" w:type="dxa"/>
          </w:tcPr>
          <w:p w14:paraId="73083CA4" w14:textId="4D109692" w:rsidR="00E57671" w:rsidRDefault="00E57671" w:rsidP="00843FD5">
            <w:pPr>
              <w:pStyle w:val="TableDataUnpadded"/>
            </w:pPr>
            <w:r>
              <w:t>bevacizumab-</w:t>
            </w:r>
            <w:proofErr w:type="spellStart"/>
            <w:r>
              <w:t>adcd</w:t>
            </w:r>
            <w:proofErr w:type="spellEnd"/>
          </w:p>
        </w:tc>
      </w:tr>
      <w:tr w:rsidR="00E57671" w:rsidRPr="00BD1CC1" w14:paraId="14F48FAA" w14:textId="77777777" w:rsidTr="00CB523A">
        <w:trPr>
          <w:cantSplit/>
        </w:trPr>
        <w:tc>
          <w:tcPr>
            <w:tcW w:w="5340" w:type="dxa"/>
          </w:tcPr>
          <w:p w14:paraId="42AA730C" w14:textId="5295D0B7" w:rsidR="00E57671" w:rsidRDefault="00E57671" w:rsidP="00843FD5">
            <w:pPr>
              <w:pStyle w:val="TableDataUnpadded"/>
            </w:pPr>
            <w:r>
              <w:t>Zirabev</w:t>
            </w:r>
          </w:p>
        </w:tc>
        <w:tc>
          <w:tcPr>
            <w:tcW w:w="5340" w:type="dxa"/>
          </w:tcPr>
          <w:p w14:paraId="200C5A65" w14:textId="7CC953E3" w:rsidR="00E57671" w:rsidRDefault="00E57671" w:rsidP="00843FD5">
            <w:pPr>
              <w:pStyle w:val="TableDataUnpadded"/>
            </w:pPr>
            <w:r>
              <w:t>bevacizumab-</w:t>
            </w:r>
            <w:proofErr w:type="spellStart"/>
            <w:r>
              <w:t>bvzr</w:t>
            </w:r>
            <w:proofErr w:type="spellEnd"/>
          </w:p>
        </w:tc>
      </w:tr>
    </w:tbl>
    <w:bookmarkEnd w:id="0"/>
    <w:p w14:paraId="14CE6108" w14:textId="6D9D4F2D" w:rsidR="00FC1AAD" w:rsidRDefault="00ED052F" w:rsidP="00410DB1">
      <w:pPr>
        <w:pStyle w:val="Heading2"/>
        <w:tabs>
          <w:tab w:val="clear" w:pos="2880"/>
          <w:tab w:val="left" w:pos="9442"/>
        </w:tabs>
      </w:pPr>
      <w:r>
        <w:t>Indications</w:t>
      </w:r>
    </w:p>
    <w:p w14:paraId="4959DB18" w14:textId="77777777" w:rsidR="00B81E72" w:rsidRPr="00B81E72" w:rsidRDefault="00B81E72" w:rsidP="00B81E72">
      <w:pPr>
        <w:pStyle w:val="BodyText"/>
      </w:pPr>
      <w:r w:rsidRPr="00B81E7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FEA6C04" w:rsidR="00ED052F" w:rsidRDefault="00ED052F" w:rsidP="00ED052F">
      <w:pPr>
        <w:pStyle w:val="Heading3"/>
        <w:keepNext w:val="0"/>
      </w:pPr>
      <w:r w:rsidRPr="00BD1CC1">
        <w:t>FDA-</w:t>
      </w:r>
      <w:r w:rsidR="00CB5D84">
        <w:t>A</w:t>
      </w:r>
      <w:r w:rsidRPr="00BD1CC1">
        <w:t>pproved Indications</w:t>
      </w:r>
      <w:r w:rsidR="00B81E72" w:rsidRPr="00B81E72">
        <w:rPr>
          <w:vertAlign w:val="superscript"/>
        </w:rPr>
        <w:t>1-6</w:t>
      </w:r>
      <w:r w:rsidR="00E57671">
        <w:rPr>
          <w:vertAlign w:val="superscript"/>
        </w:rPr>
        <w:t>,3</w:t>
      </w:r>
      <w:r w:rsidR="00FE248E">
        <w:rPr>
          <w:vertAlign w:val="superscript"/>
        </w:rPr>
        <w:t>2</w:t>
      </w:r>
    </w:p>
    <w:p w14:paraId="53CABBD4" w14:textId="77777777" w:rsidR="00B81E72" w:rsidRPr="00EC19CC" w:rsidRDefault="00B81E72" w:rsidP="00B81E72">
      <w:pPr>
        <w:pStyle w:val="Heading4"/>
      </w:pPr>
      <w:r w:rsidRPr="00EC19CC">
        <w:t>Metastatic Colorectal Cancer (mCRC)</w:t>
      </w:r>
    </w:p>
    <w:p w14:paraId="23949D24" w14:textId="5D20438D" w:rsidR="00B81E72" w:rsidRPr="00B81E72" w:rsidRDefault="00B81E72" w:rsidP="00597F1F">
      <w:pPr>
        <w:pStyle w:val="ListParagraph"/>
        <w:numPr>
          <w:ilvl w:val="0"/>
          <w:numId w:val="21"/>
        </w:numPr>
      </w:pPr>
      <w:r w:rsidRPr="00B81E72">
        <w:t xml:space="preserve">Avastin, </w:t>
      </w:r>
      <w:proofErr w:type="spellStart"/>
      <w:r w:rsidRPr="00B81E72">
        <w:t>Alymsys</w:t>
      </w:r>
      <w:proofErr w:type="spellEnd"/>
      <w:r w:rsidRPr="00B81E72">
        <w:t xml:space="preserve">, </w:t>
      </w:r>
      <w:proofErr w:type="spellStart"/>
      <w:r w:rsidRPr="00B81E72">
        <w:t>Avzivi</w:t>
      </w:r>
      <w:proofErr w:type="spellEnd"/>
      <w:r w:rsidRPr="00B81E72">
        <w:t>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B81E72">
        <w:t xml:space="preserve">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>, in combination with intravenous fluorouracil-based chemotherapy, is indicated for the first- or second-line treatment of patients with metastatic colorectal cancer.</w:t>
      </w:r>
    </w:p>
    <w:p w14:paraId="175D41DA" w14:textId="4E9E21E8" w:rsidR="00B81E72" w:rsidRPr="00B81E72" w:rsidRDefault="00B81E72" w:rsidP="00597F1F">
      <w:pPr>
        <w:pStyle w:val="ListParagraph"/>
        <w:numPr>
          <w:ilvl w:val="0"/>
          <w:numId w:val="21"/>
        </w:numPr>
      </w:pPr>
      <w:r w:rsidRPr="00B81E72">
        <w:lastRenderedPageBreak/>
        <w:t xml:space="preserve">Avastin, </w:t>
      </w:r>
      <w:proofErr w:type="spellStart"/>
      <w:r w:rsidRPr="00B81E72">
        <w:t>Alymsys</w:t>
      </w:r>
      <w:proofErr w:type="spellEnd"/>
      <w:r w:rsidRPr="00B81E72">
        <w:t xml:space="preserve">, </w:t>
      </w:r>
      <w:proofErr w:type="spellStart"/>
      <w:r w:rsidRPr="00B81E72">
        <w:t>Avzivi</w:t>
      </w:r>
      <w:proofErr w:type="spellEnd"/>
      <w:r w:rsidRPr="00B81E72">
        <w:t>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B81E72">
        <w:t xml:space="preserve">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>, in combination with fluoropyrimidine-irinotecan- or fluoropyrimidine-oxaliplatin-based chemotherapy, is indicated for the second-line treatment of patients with metastatic colorectal cancer who have progressed on a first-line bevacizumab product-containing regimen.</w:t>
      </w:r>
    </w:p>
    <w:p w14:paraId="6FB3FE84" w14:textId="77777777" w:rsidR="00B81E72" w:rsidRPr="00EC19CC" w:rsidRDefault="00B81E72" w:rsidP="00B81E72">
      <w:pPr>
        <w:pStyle w:val="Heading4"/>
      </w:pPr>
      <w:r w:rsidRPr="00EC19CC">
        <w:t>First-Line Non-Squamous Non-Small Cell Lung Cancer (NSCLC)</w:t>
      </w:r>
    </w:p>
    <w:p w14:paraId="6738023D" w14:textId="54B4727B" w:rsidR="00B81E72" w:rsidRPr="00B81E72" w:rsidRDefault="00B81E72" w:rsidP="00B81E72">
      <w:pPr>
        <w:pStyle w:val="BodyText"/>
      </w:pPr>
      <w:r w:rsidRPr="00B81E72">
        <w:t xml:space="preserve">Avastin, </w:t>
      </w:r>
      <w:proofErr w:type="spellStart"/>
      <w:r w:rsidRPr="00B81E72">
        <w:t>Alymsys</w:t>
      </w:r>
      <w:proofErr w:type="spellEnd"/>
      <w:r w:rsidRPr="00B81E72">
        <w:t xml:space="preserve">, </w:t>
      </w:r>
      <w:proofErr w:type="spellStart"/>
      <w:r w:rsidRPr="00B81E72">
        <w:t>Avzivi</w:t>
      </w:r>
      <w:proofErr w:type="spellEnd"/>
      <w:r w:rsidRPr="00B81E72">
        <w:t>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B81E72">
        <w:t xml:space="preserve">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>, in combination with carboplatin and paclitaxel, is indicated for the first-line treatment of patients with unresectable, locally advanced, recurrent or metastatic non–squamous non–small cell lung cancer.</w:t>
      </w:r>
    </w:p>
    <w:p w14:paraId="6ABADAC3" w14:textId="77777777" w:rsidR="00B81E72" w:rsidRPr="00EC19CC" w:rsidRDefault="00B81E72" w:rsidP="00B81E72">
      <w:pPr>
        <w:pStyle w:val="Heading4"/>
      </w:pPr>
      <w:r w:rsidRPr="00EC19CC">
        <w:t>Recurrent Glioblastoma (RGM)</w:t>
      </w:r>
    </w:p>
    <w:p w14:paraId="1D676DAB" w14:textId="2DD0EAE9" w:rsidR="00B81E72" w:rsidRPr="00BF080A" w:rsidRDefault="00B81E72" w:rsidP="00B81E72">
      <w:pPr>
        <w:pStyle w:val="BodyText"/>
      </w:pPr>
      <w:r w:rsidRPr="00EC19CC">
        <w:t xml:space="preserve">Avastin, </w:t>
      </w:r>
      <w:proofErr w:type="spellStart"/>
      <w:r w:rsidRPr="00EC19CC">
        <w:t>Alymsys</w:t>
      </w:r>
      <w:proofErr w:type="spellEnd"/>
      <w:r w:rsidRPr="00EC19CC">
        <w:t xml:space="preserve">, </w:t>
      </w:r>
      <w:proofErr w:type="spellStart"/>
      <w:r>
        <w:t>Avzivi</w:t>
      </w:r>
      <w:proofErr w:type="spellEnd"/>
      <w:r>
        <w:t>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EC19CC">
        <w:t xml:space="preserve"> </w:t>
      </w:r>
      <w:proofErr w:type="spellStart"/>
      <w:r w:rsidRPr="00EC19CC">
        <w:t>Mvasi</w:t>
      </w:r>
      <w:proofErr w:type="spellEnd"/>
      <w:r w:rsidRPr="00EC19CC">
        <w:t xml:space="preserve">, </w:t>
      </w:r>
      <w:proofErr w:type="spellStart"/>
      <w:r w:rsidRPr="00EC19CC">
        <w:t>Vegzelma</w:t>
      </w:r>
      <w:proofErr w:type="spellEnd"/>
      <w:r w:rsidRPr="00EC19CC">
        <w:t xml:space="preserve"> or </w:t>
      </w:r>
      <w:proofErr w:type="spellStart"/>
      <w:r w:rsidRPr="00EC19CC">
        <w:t>Zirabev</w:t>
      </w:r>
      <w:proofErr w:type="spellEnd"/>
      <w:r w:rsidRPr="00EC19CC">
        <w:t>, is indicated for the treatment of recurrent glioblastoma in adults.</w:t>
      </w:r>
    </w:p>
    <w:p w14:paraId="23E6F225" w14:textId="77777777" w:rsidR="00B81E72" w:rsidRPr="00B81E72" w:rsidRDefault="00B81E72" w:rsidP="00B81E72">
      <w:pPr>
        <w:pStyle w:val="Heading4"/>
        <w:rPr>
          <w:lang w:val="it-IT"/>
        </w:rPr>
      </w:pPr>
      <w:r w:rsidRPr="00B81E72">
        <w:rPr>
          <w:lang w:val="it-IT"/>
        </w:rPr>
        <w:t>Metastatic Renal Cell Carcinoma (mRCC)</w:t>
      </w:r>
    </w:p>
    <w:p w14:paraId="6DE431AE" w14:textId="77777777" w:rsidR="00B81E72" w:rsidRPr="00B81E72" w:rsidRDefault="00B81E72" w:rsidP="00B81E72">
      <w:pPr>
        <w:pStyle w:val="BodyText"/>
      </w:pPr>
      <w:r w:rsidRPr="00B81E72">
        <w:t xml:space="preserve">Avastin, </w:t>
      </w:r>
      <w:proofErr w:type="spellStart"/>
      <w:r w:rsidRPr="00B81E72">
        <w:t>Alymsys</w:t>
      </w:r>
      <w:proofErr w:type="spellEnd"/>
      <w:r w:rsidRPr="00B81E72">
        <w:t xml:space="preserve">, </w:t>
      </w:r>
      <w:proofErr w:type="spellStart"/>
      <w:r w:rsidRPr="00B81E72">
        <w:t>Avzivi</w:t>
      </w:r>
      <w:proofErr w:type="spellEnd"/>
      <w:r w:rsidRPr="00B81E72">
        <w:t xml:space="preserve">,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Zirabev, in combination with interferon alfa, is indicated for the treatment of metastatic renal cell carcinoma.</w:t>
      </w:r>
    </w:p>
    <w:p w14:paraId="6652E1E9" w14:textId="77777777" w:rsidR="00B81E72" w:rsidRPr="00EC19CC" w:rsidRDefault="00B81E72" w:rsidP="00B81E72">
      <w:pPr>
        <w:pStyle w:val="Heading4"/>
      </w:pPr>
      <w:r w:rsidRPr="00EC19CC">
        <w:t>Persistent, Recurrent, or Metastatic Cervical Cancer</w:t>
      </w:r>
    </w:p>
    <w:p w14:paraId="14B191AC" w14:textId="4877D738" w:rsidR="00B81E72" w:rsidRPr="00BF080A" w:rsidRDefault="00B81E72" w:rsidP="00B81E72">
      <w:pPr>
        <w:pStyle w:val="BodyText"/>
      </w:pPr>
      <w:r w:rsidRPr="00EC19CC">
        <w:t xml:space="preserve">Avastin, </w:t>
      </w:r>
      <w:proofErr w:type="spellStart"/>
      <w:r w:rsidRPr="00EC19CC">
        <w:t>Alymsys</w:t>
      </w:r>
      <w:proofErr w:type="spellEnd"/>
      <w:r w:rsidRPr="00EC19CC">
        <w:t xml:space="preserve">, </w:t>
      </w:r>
      <w:proofErr w:type="spellStart"/>
      <w:r>
        <w:t>Avzivi</w:t>
      </w:r>
      <w:proofErr w:type="spellEnd"/>
      <w:r>
        <w:t>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EC19CC">
        <w:t xml:space="preserve"> </w:t>
      </w:r>
      <w:proofErr w:type="spellStart"/>
      <w:r w:rsidRPr="00EC19CC">
        <w:t>Mvasi</w:t>
      </w:r>
      <w:proofErr w:type="spellEnd"/>
      <w:r w:rsidRPr="00EC19CC">
        <w:t xml:space="preserve">, </w:t>
      </w:r>
      <w:proofErr w:type="spellStart"/>
      <w:r w:rsidRPr="00EC19CC">
        <w:t>Vegzelma</w:t>
      </w:r>
      <w:proofErr w:type="spellEnd"/>
      <w:r w:rsidRPr="00EC19CC">
        <w:t xml:space="preserve"> or </w:t>
      </w:r>
      <w:proofErr w:type="spellStart"/>
      <w:r w:rsidRPr="00EC19CC">
        <w:t>Zirabev</w:t>
      </w:r>
      <w:proofErr w:type="spellEnd"/>
      <w:r w:rsidRPr="00EC19CC">
        <w:t>, in combination with paclitaxel and cisplatin or paclitaxel and topotecan, is indicated for the treatment of patients with persistent, recurrent, or metastatic cervical cancer.</w:t>
      </w:r>
    </w:p>
    <w:p w14:paraId="7B2E27C8" w14:textId="77777777" w:rsidR="00B81E72" w:rsidRPr="00EC19CC" w:rsidRDefault="00B81E72" w:rsidP="00B81E72">
      <w:pPr>
        <w:pStyle w:val="Heading4"/>
      </w:pPr>
      <w:r w:rsidRPr="00EC19CC">
        <w:t>Epithelial Ovarian, Fallopian Tube, or Primary Peritoneal Cancer</w:t>
      </w:r>
    </w:p>
    <w:p w14:paraId="34B91B9E" w14:textId="2735AF01" w:rsidR="00B81E72" w:rsidRPr="00B81E72" w:rsidRDefault="00B81E72" w:rsidP="00597F1F">
      <w:pPr>
        <w:pStyle w:val="ListParagraph"/>
        <w:numPr>
          <w:ilvl w:val="0"/>
          <w:numId w:val="22"/>
        </w:numPr>
      </w:pPr>
      <w:r w:rsidRPr="00B81E72">
        <w:t>Avastin,</w:t>
      </w:r>
      <w:r w:rsidR="00580979">
        <w:t xml:space="preserve"> </w:t>
      </w:r>
      <w:proofErr w:type="spellStart"/>
      <w:r w:rsidR="00580979">
        <w:t>Jobevne</w:t>
      </w:r>
      <w:proofErr w:type="spellEnd"/>
      <w:r w:rsidR="00580979">
        <w:t>,</w:t>
      </w:r>
      <w:r w:rsidRPr="00B81E72">
        <w:t xml:space="preserve">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 xml:space="preserve">, in combination with carboplatin and paclitaxel, followed by Avastin, </w:t>
      </w:r>
      <w:proofErr w:type="spellStart"/>
      <w:r w:rsidR="00C76B12">
        <w:t>Jobevne</w:t>
      </w:r>
      <w:proofErr w:type="spellEnd"/>
      <w:r w:rsidR="00C76B12">
        <w:t xml:space="preserve">,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 xml:space="preserve"> as a single agent, is indicated for the treatment of patients with stage III or IV epithelial ovarian, fallopian tube, or primary peritoneal cancer following initial surgical resection.</w:t>
      </w:r>
    </w:p>
    <w:p w14:paraId="3C654EE5" w14:textId="7621FD54" w:rsidR="00B81E72" w:rsidRPr="00B81E72" w:rsidRDefault="00B81E72" w:rsidP="00597F1F">
      <w:pPr>
        <w:pStyle w:val="ListParagraph"/>
        <w:numPr>
          <w:ilvl w:val="0"/>
          <w:numId w:val="22"/>
        </w:numPr>
      </w:pPr>
      <w:r w:rsidRPr="00B81E72">
        <w:t xml:space="preserve">Avastin, </w:t>
      </w:r>
      <w:proofErr w:type="spellStart"/>
      <w:r w:rsidRPr="00B81E72">
        <w:t>Alymsys</w:t>
      </w:r>
      <w:proofErr w:type="spellEnd"/>
      <w:r w:rsidRPr="00B81E72">
        <w:t xml:space="preserve">, </w:t>
      </w:r>
      <w:proofErr w:type="spellStart"/>
      <w:r w:rsidRPr="00B81E72">
        <w:t>Avzivi</w:t>
      </w:r>
      <w:proofErr w:type="spellEnd"/>
      <w:r w:rsidRPr="00B81E72">
        <w:t xml:space="preserve">, </w:t>
      </w:r>
      <w:proofErr w:type="spellStart"/>
      <w:r w:rsidR="00580979">
        <w:t>Jobevne</w:t>
      </w:r>
      <w:proofErr w:type="spellEnd"/>
      <w:r w:rsidR="00580979">
        <w:t xml:space="preserve">,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>, in combination with paclitaxel, pegylated liposomal doxorubicin, or topotecan, is indicated for the treatment of patients with platinum-resistant recurrent epithelial ovarian, fallopian tube or primary peritoneal cancer who received no more than 2 prior chemotherapy regimens.</w:t>
      </w:r>
    </w:p>
    <w:p w14:paraId="15908082" w14:textId="389BD59D" w:rsidR="00B81E72" w:rsidRPr="00B81E72" w:rsidRDefault="00B81E72" w:rsidP="00597F1F">
      <w:pPr>
        <w:pStyle w:val="ListParagraph"/>
        <w:numPr>
          <w:ilvl w:val="0"/>
          <w:numId w:val="22"/>
        </w:numPr>
      </w:pPr>
      <w:r w:rsidRPr="00B81E72">
        <w:t xml:space="preserve">Avastin, </w:t>
      </w:r>
      <w:proofErr w:type="spellStart"/>
      <w:r w:rsidR="00580979">
        <w:t>Jobevne</w:t>
      </w:r>
      <w:proofErr w:type="spellEnd"/>
      <w:r w:rsidR="00580979">
        <w:t xml:space="preserve">,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 xml:space="preserve">, in combination with carboplatin and paclitaxel, or with carboplatin and gemcitabine, followed by Avastin, </w:t>
      </w:r>
      <w:proofErr w:type="spellStart"/>
      <w:r w:rsidR="00C76B12">
        <w:t>Jobevne</w:t>
      </w:r>
      <w:proofErr w:type="spellEnd"/>
      <w:r w:rsidR="00C76B12">
        <w:t xml:space="preserve">, </w:t>
      </w:r>
      <w:proofErr w:type="spellStart"/>
      <w:r w:rsidRPr="00B81E72">
        <w:t>Mvasi</w:t>
      </w:r>
      <w:proofErr w:type="spellEnd"/>
      <w:r w:rsidRPr="00B81E72">
        <w:t xml:space="preserve">, </w:t>
      </w:r>
      <w:proofErr w:type="spellStart"/>
      <w:r w:rsidRPr="00B81E72">
        <w:t>Vegzelma</w:t>
      </w:r>
      <w:proofErr w:type="spellEnd"/>
      <w:r w:rsidRPr="00B81E72">
        <w:t xml:space="preserve"> or </w:t>
      </w:r>
      <w:proofErr w:type="spellStart"/>
      <w:r w:rsidRPr="00B81E72">
        <w:t>Zirabev</w:t>
      </w:r>
      <w:proofErr w:type="spellEnd"/>
      <w:r w:rsidRPr="00B81E72">
        <w:t xml:space="preserve"> as a single agent, is indicated for the treatment of patients with platinum-sensitive recurrent epithelial ovarian, fallopian tube, or primary peritoneal cancer.</w:t>
      </w:r>
    </w:p>
    <w:p w14:paraId="639EC27B" w14:textId="77777777" w:rsidR="00B81E72" w:rsidRPr="00EC19CC" w:rsidRDefault="00B81E72" w:rsidP="00B81E72">
      <w:pPr>
        <w:pStyle w:val="Heading4"/>
      </w:pPr>
      <w:r w:rsidRPr="00EC19CC">
        <w:t>Hepatocellular Carcinoma</w:t>
      </w:r>
    </w:p>
    <w:p w14:paraId="5C97DEEB" w14:textId="77777777" w:rsidR="00B81E72" w:rsidRPr="00C21185" w:rsidRDefault="00B81E72" w:rsidP="00B81E72">
      <w:pPr>
        <w:pStyle w:val="BodyText"/>
      </w:pPr>
      <w:r w:rsidRPr="00B81E72">
        <w:t>Avastin</w:t>
      </w:r>
      <w:r w:rsidRPr="00EC19CC">
        <w:t>, in combination with atezolizumab, is indicated for the treatment of patients with unresectable or metastatic hepatocellular carcinoma (HCC) who have not received prior systemic therapy.</w:t>
      </w:r>
    </w:p>
    <w:p w14:paraId="15D1FAA6" w14:textId="7F306C97" w:rsidR="00B81E72" w:rsidRPr="00B81E72" w:rsidRDefault="00B81E72" w:rsidP="00B81E72">
      <w:pPr>
        <w:pStyle w:val="Heading3"/>
        <w:keepNext w:val="0"/>
      </w:pPr>
      <w:r w:rsidRPr="00B81E72">
        <w:t>Compendial Uses</w:t>
      </w:r>
      <w:r w:rsidRPr="00B81E72">
        <w:rPr>
          <w:vertAlign w:val="superscript"/>
        </w:rPr>
        <w:t>7-</w:t>
      </w:r>
      <w:r w:rsidR="00346F3D" w:rsidRPr="00B81E72">
        <w:rPr>
          <w:vertAlign w:val="superscript"/>
        </w:rPr>
        <w:t>3</w:t>
      </w:r>
      <w:r w:rsidR="006E2AE7">
        <w:rPr>
          <w:vertAlign w:val="superscript"/>
        </w:rPr>
        <w:t>1</w:t>
      </w:r>
    </w:p>
    <w:p w14:paraId="3B5CE0F2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Central Nervous System (CNS) Cancers</w:t>
      </w:r>
    </w:p>
    <w:p w14:paraId="752E8099" w14:textId="3AE5122E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Circumscribed glioma</w:t>
      </w:r>
    </w:p>
    <w:p w14:paraId="1DE64AFB" w14:textId="0F833F7B" w:rsidR="0048476C" w:rsidRPr="00B81E72" w:rsidRDefault="00B81E72" w:rsidP="00EF796D">
      <w:pPr>
        <w:pStyle w:val="ListParagraph"/>
        <w:numPr>
          <w:ilvl w:val="1"/>
          <w:numId w:val="24"/>
        </w:numPr>
      </w:pPr>
      <w:r w:rsidRPr="00B81E72">
        <w:t xml:space="preserve">Diffuse high grade </w:t>
      </w:r>
      <w:r w:rsidR="00EF796D">
        <w:t>and high</w:t>
      </w:r>
      <w:r w:rsidR="0048476C">
        <w:t xml:space="preserve"> grade glioma</w:t>
      </w:r>
      <w:r w:rsidR="00EF796D">
        <w:t>s</w:t>
      </w:r>
    </w:p>
    <w:p w14:paraId="209F7E42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Glioblastoma</w:t>
      </w:r>
    </w:p>
    <w:p w14:paraId="21BB6014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IDH mutant astrocytoma (WHO Grade 2, 3, or 4)</w:t>
      </w:r>
    </w:p>
    <w:p w14:paraId="2C61984A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Oligodendroglioma (WHO Grade 2 or 3)</w:t>
      </w:r>
    </w:p>
    <w:p w14:paraId="371C0B20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 xml:space="preserve">Intracranial and Spinal Ependymoma (excluding </w:t>
      </w:r>
      <w:proofErr w:type="spellStart"/>
      <w:r w:rsidRPr="00B81E72">
        <w:t>subependymoma</w:t>
      </w:r>
      <w:proofErr w:type="spellEnd"/>
      <w:r w:rsidRPr="00B81E72">
        <w:t>)</w:t>
      </w:r>
    </w:p>
    <w:p w14:paraId="49E3A5F6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Medulloblastoma</w:t>
      </w:r>
    </w:p>
    <w:p w14:paraId="3D62B851" w14:textId="77777777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Primary Central Nervous System Lymphoma</w:t>
      </w:r>
    </w:p>
    <w:p w14:paraId="0F45CF20" w14:textId="00F746C1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Meningiomas</w:t>
      </w:r>
    </w:p>
    <w:p w14:paraId="0427ADFC" w14:textId="29621E00" w:rsidR="00B81E72" w:rsidRPr="00B81E72" w:rsidRDefault="00B81E72" w:rsidP="00597F1F">
      <w:pPr>
        <w:pStyle w:val="ListParagraph"/>
        <w:numPr>
          <w:ilvl w:val="1"/>
          <w:numId w:val="24"/>
        </w:numPr>
      </w:pPr>
      <w:r w:rsidRPr="00B81E72">
        <w:t>Limited and Extensive Brain Metastases</w:t>
      </w:r>
    </w:p>
    <w:p w14:paraId="014A483C" w14:textId="77777777" w:rsidR="00B81E72" w:rsidRDefault="00B81E72" w:rsidP="00597F1F">
      <w:pPr>
        <w:pStyle w:val="ListParagraph"/>
        <w:numPr>
          <w:ilvl w:val="1"/>
          <w:numId w:val="24"/>
        </w:numPr>
      </w:pPr>
      <w:r w:rsidRPr="00B81E72">
        <w:t>Metastatic Spine Tumors</w:t>
      </w:r>
    </w:p>
    <w:p w14:paraId="4EC09823" w14:textId="2EC0A489" w:rsidR="006125A8" w:rsidRPr="006125A8" w:rsidRDefault="0048476C" w:rsidP="00597F1F">
      <w:pPr>
        <w:pStyle w:val="ListParagraph"/>
        <w:numPr>
          <w:ilvl w:val="1"/>
          <w:numId w:val="24"/>
        </w:numPr>
        <w:rPr>
          <w:rFonts w:ascii="Arial" w:hAnsi="Arial"/>
          <w:sz w:val="20"/>
          <w:szCs w:val="20"/>
        </w:rPr>
      </w:pPr>
      <w:r>
        <w:t>Primary Spinal Cord Tumors</w:t>
      </w:r>
    </w:p>
    <w:p w14:paraId="5659D620" w14:textId="77777777" w:rsidR="00B81E72" w:rsidRPr="00262B5B" w:rsidRDefault="00B81E72" w:rsidP="00597F1F">
      <w:pPr>
        <w:pStyle w:val="ListParagraph"/>
        <w:numPr>
          <w:ilvl w:val="0"/>
          <w:numId w:val="23"/>
        </w:numPr>
        <w:rPr>
          <w:lang w:val="it-IT"/>
        </w:rPr>
      </w:pPr>
      <w:r w:rsidRPr="00262B5B">
        <w:rPr>
          <w:lang w:val="it-IT"/>
        </w:rPr>
        <w:t>Pleural Mesothelioma, Peritoneal Mesothelioma, Pericardial Mesothelioma, Tunica Vaginalis Testis Mesothelioma</w:t>
      </w:r>
    </w:p>
    <w:p w14:paraId="3C20CAF5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Ovarian Cancer, Fallopian Tube Cancer, Primary Peritoneal Cancer</w:t>
      </w:r>
    </w:p>
    <w:p w14:paraId="5116F221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Soft Tissue Sarcoma</w:t>
      </w:r>
    </w:p>
    <w:p w14:paraId="7853CB54" w14:textId="77777777" w:rsidR="00B81E72" w:rsidRPr="00B81E72" w:rsidRDefault="00B81E72" w:rsidP="00597F1F">
      <w:pPr>
        <w:pStyle w:val="ListParagraph"/>
        <w:numPr>
          <w:ilvl w:val="1"/>
          <w:numId w:val="25"/>
        </w:numPr>
      </w:pPr>
      <w:r w:rsidRPr="00B81E72">
        <w:t>Angiosarcoma</w:t>
      </w:r>
    </w:p>
    <w:p w14:paraId="41AC5292" w14:textId="77777777" w:rsidR="00B81E72" w:rsidRPr="00B81E72" w:rsidRDefault="00B81E72" w:rsidP="00597F1F">
      <w:pPr>
        <w:pStyle w:val="ListParagraph"/>
        <w:numPr>
          <w:ilvl w:val="1"/>
          <w:numId w:val="25"/>
        </w:numPr>
      </w:pPr>
      <w:r w:rsidRPr="00B81E72">
        <w:t>Solitary Fibrous Tumor/Hemangiopericytoma</w:t>
      </w:r>
    </w:p>
    <w:p w14:paraId="0AE88B07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Uterine Neoplasms/Endometrial Carcinoma</w:t>
      </w:r>
    </w:p>
    <w:p w14:paraId="162A32CF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Vulvar Carcinoma</w:t>
      </w:r>
    </w:p>
    <w:p w14:paraId="2D059D79" w14:textId="0333AC86" w:rsidR="00AF1BF9" w:rsidRDefault="00AF1BF9" w:rsidP="00597F1F">
      <w:pPr>
        <w:pStyle w:val="ListParagraph"/>
        <w:numPr>
          <w:ilvl w:val="0"/>
          <w:numId w:val="23"/>
        </w:numPr>
      </w:pPr>
      <w:r>
        <w:t>Vaginal Cancer</w:t>
      </w:r>
    </w:p>
    <w:p w14:paraId="2D1087DB" w14:textId="58D9CD1E" w:rsidR="0001115A" w:rsidRPr="00B81E72" w:rsidRDefault="0001115A" w:rsidP="00597F1F">
      <w:pPr>
        <w:pStyle w:val="ListParagraph"/>
        <w:numPr>
          <w:ilvl w:val="0"/>
          <w:numId w:val="23"/>
        </w:numPr>
      </w:pPr>
      <w:r>
        <w:t>Cervical Cancer</w:t>
      </w:r>
    </w:p>
    <w:p w14:paraId="6BEBE991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Small Bowel Adenocarcinoma</w:t>
      </w:r>
    </w:p>
    <w:p w14:paraId="546C4C9F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Ampullary Adenocarcinoma</w:t>
      </w:r>
    </w:p>
    <w:p w14:paraId="59C44DCC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Appendiceal Adenocarcinoma</w:t>
      </w:r>
    </w:p>
    <w:p w14:paraId="5AE96360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Anal Adenocarcinoma</w:t>
      </w:r>
      <w:bookmarkStart w:id="1" w:name="_Hlk56171508"/>
    </w:p>
    <w:p w14:paraId="469632AA" w14:textId="77777777" w:rsidR="00B81E72" w:rsidRDefault="00B81E72" w:rsidP="00597F1F">
      <w:pPr>
        <w:pStyle w:val="ListParagraph"/>
        <w:numPr>
          <w:ilvl w:val="0"/>
          <w:numId w:val="23"/>
        </w:numPr>
      </w:pPr>
      <w:r w:rsidRPr="00B81E72">
        <w:t>Renal Cell Carcinoma</w:t>
      </w:r>
    </w:p>
    <w:p w14:paraId="6D031A7C" w14:textId="21388C72" w:rsidR="00E82FA0" w:rsidRPr="00B81E72" w:rsidRDefault="00E82FA0" w:rsidP="00597F1F">
      <w:pPr>
        <w:pStyle w:val="ListParagraph"/>
        <w:numPr>
          <w:ilvl w:val="0"/>
          <w:numId w:val="23"/>
        </w:numPr>
      </w:pPr>
      <w:r>
        <w:t>Hepatocellular Carcinoma</w:t>
      </w:r>
    </w:p>
    <w:bookmarkEnd w:id="1"/>
    <w:p w14:paraId="0B2286F7" w14:textId="77777777" w:rsidR="00B81E72" w:rsidRPr="00B81E72" w:rsidRDefault="00B81E72" w:rsidP="00597F1F">
      <w:pPr>
        <w:pStyle w:val="ListParagraph"/>
        <w:numPr>
          <w:ilvl w:val="0"/>
          <w:numId w:val="23"/>
        </w:numPr>
      </w:pPr>
      <w:r w:rsidRPr="00B81E72">
        <w:t>Ophthalmic Disorders</w:t>
      </w:r>
    </w:p>
    <w:p w14:paraId="46A07817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Diabetic Macular Edema</w:t>
      </w:r>
    </w:p>
    <w:p w14:paraId="152BD357" w14:textId="3425AF35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Neovascular (wet) Age-Related Macular Degeneration</w:t>
      </w:r>
    </w:p>
    <w:p w14:paraId="4D5760EF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Macular Edema following Retinal Vein Occlusion</w:t>
      </w:r>
    </w:p>
    <w:p w14:paraId="2C2E90BC" w14:textId="24BF54FE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Proliferative Diabetic Retinopathy</w:t>
      </w:r>
    </w:p>
    <w:p w14:paraId="117342F5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Choroidal Neovascularization</w:t>
      </w:r>
    </w:p>
    <w:p w14:paraId="0DDC6F7F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Neovascular Glaucoma</w:t>
      </w:r>
    </w:p>
    <w:p w14:paraId="5CAE2158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Retinopathy of Prematurity</w:t>
      </w:r>
    </w:p>
    <w:p w14:paraId="1F420E61" w14:textId="77777777" w:rsidR="00B81E72" w:rsidRPr="00B81E72" w:rsidRDefault="00B81E72" w:rsidP="00597F1F">
      <w:pPr>
        <w:pStyle w:val="ListParagraph"/>
        <w:numPr>
          <w:ilvl w:val="1"/>
          <w:numId w:val="26"/>
        </w:numPr>
      </w:pPr>
      <w:r w:rsidRPr="00B81E72">
        <w:t>Polypoidal Choroidal Vasculopathy</w:t>
      </w:r>
    </w:p>
    <w:p w14:paraId="40EB7F5C" w14:textId="77777777" w:rsidR="00B81E72" w:rsidRPr="00B81E72" w:rsidRDefault="00B81E72" w:rsidP="00B81E72">
      <w:pPr>
        <w:pStyle w:val="BodyText"/>
      </w:pPr>
      <w:r w:rsidRPr="00B81E72">
        <w:t>All other indications are considered experimental/investigational and not medically necessary.</w:t>
      </w:r>
    </w:p>
    <w:p w14:paraId="48C48295" w14:textId="60A7BAE5" w:rsidR="00B07366" w:rsidRPr="00B07366" w:rsidRDefault="00B07366" w:rsidP="00B07366">
      <w:pPr>
        <w:pStyle w:val="Heading2"/>
        <w:tabs>
          <w:tab w:val="left" w:pos="9540"/>
        </w:tabs>
      </w:pPr>
      <w:r>
        <w:t>Coverage Criteria</w:t>
      </w:r>
    </w:p>
    <w:p w14:paraId="63786BF0" w14:textId="1FBFEAF0" w:rsidR="00B07366" w:rsidRPr="00B07366" w:rsidRDefault="00B07366" w:rsidP="00B527A5">
      <w:pPr>
        <w:pStyle w:val="Heading3"/>
      </w:pPr>
      <w:r w:rsidRPr="00B07366">
        <w:t>Ophthalmic Disorders</w:t>
      </w:r>
      <w:r w:rsidRPr="00B527A5">
        <w:rPr>
          <w:vertAlign w:val="superscript"/>
        </w:rPr>
        <w:t>8-2</w:t>
      </w:r>
      <w:r w:rsidR="004C0100">
        <w:rPr>
          <w:vertAlign w:val="superscript"/>
        </w:rPr>
        <w:t>6</w:t>
      </w:r>
      <w:r w:rsidRPr="00B527A5">
        <w:rPr>
          <w:vertAlign w:val="superscript"/>
        </w:rPr>
        <w:t>,3</w:t>
      </w:r>
      <w:r w:rsidR="00194F32">
        <w:rPr>
          <w:vertAlign w:val="superscript"/>
        </w:rPr>
        <w:t>0</w:t>
      </w:r>
    </w:p>
    <w:p w14:paraId="1DD1BAF8" w14:textId="77777777" w:rsidR="00B07366" w:rsidRPr="00B07366" w:rsidRDefault="00B07366" w:rsidP="00B527A5">
      <w:pPr>
        <w:pStyle w:val="BodyText"/>
      </w:pPr>
      <w:r w:rsidRPr="00B07366">
        <w:t>Authorization of 6 months may be granted for treatment of the following retinal disorders:</w:t>
      </w:r>
    </w:p>
    <w:p w14:paraId="11FE7B56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Diabetic Macular Edema</w:t>
      </w:r>
    </w:p>
    <w:p w14:paraId="6ACE5168" w14:textId="5B2C501A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Neovascular (wet) Age-Related Macular Degeneration</w:t>
      </w:r>
    </w:p>
    <w:p w14:paraId="0815E158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Macular Edema following Retinal Vein Occlusion</w:t>
      </w:r>
    </w:p>
    <w:p w14:paraId="4A72A970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Proliferative Diabetic Retinopathy</w:t>
      </w:r>
    </w:p>
    <w:p w14:paraId="2BDAF791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 xml:space="preserve">Choroidal Neovascularization (including myopic choroidal neovascularization, </w:t>
      </w:r>
      <w:proofErr w:type="spellStart"/>
      <w:r w:rsidRPr="00B07366">
        <w:t>angioid</w:t>
      </w:r>
      <w:proofErr w:type="spellEnd"/>
      <w:r w:rsidRPr="00B07366">
        <w:t xml:space="preserve"> streaks, choroiditis [including choroiditis secondary to ocular histoplasmosis], idiopathic degenerative myopia, retinal dystrophies, rubeosis iridis, pseudoxanthoma elasticum, and trauma)</w:t>
      </w:r>
    </w:p>
    <w:p w14:paraId="0A585344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Neovascular Glaucoma</w:t>
      </w:r>
    </w:p>
    <w:p w14:paraId="797F0628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Retinopathy of Prematurity</w:t>
      </w:r>
    </w:p>
    <w:p w14:paraId="191C1E0D" w14:textId="77777777" w:rsidR="00B07366" w:rsidRPr="00B07366" w:rsidRDefault="00B07366" w:rsidP="00597F1F">
      <w:pPr>
        <w:pStyle w:val="ListParagraph"/>
        <w:numPr>
          <w:ilvl w:val="0"/>
          <w:numId w:val="27"/>
        </w:numPr>
      </w:pPr>
      <w:r w:rsidRPr="00B07366">
        <w:t>Polypoidal Choroidal Vasculopathy</w:t>
      </w:r>
    </w:p>
    <w:p w14:paraId="785845C8" w14:textId="636D1029" w:rsidR="00B07366" w:rsidRPr="004526CB" w:rsidRDefault="00B07366" w:rsidP="00B527A5">
      <w:pPr>
        <w:pStyle w:val="Heading3"/>
      </w:pPr>
      <w:r w:rsidRPr="004526CB">
        <w:t>Colorectal Cancer (CRC)</w:t>
      </w:r>
      <w:r w:rsidRPr="004526CB">
        <w:rPr>
          <w:vertAlign w:val="superscript"/>
        </w:rPr>
        <w:t>1-8,2</w:t>
      </w:r>
      <w:r w:rsidR="00A931DA">
        <w:rPr>
          <w:vertAlign w:val="superscript"/>
        </w:rPr>
        <w:t>7</w:t>
      </w:r>
      <w:r w:rsidRPr="004526CB">
        <w:rPr>
          <w:vertAlign w:val="superscript"/>
        </w:rPr>
        <w:t>,2</w:t>
      </w:r>
      <w:r w:rsidR="00A931DA">
        <w:rPr>
          <w:vertAlign w:val="superscript"/>
        </w:rPr>
        <w:t>8</w:t>
      </w:r>
      <w:r w:rsidRPr="004526CB">
        <w:rPr>
          <w:vertAlign w:val="superscript"/>
        </w:rPr>
        <w:t>,</w:t>
      </w:r>
      <w:r w:rsidR="00A931DA">
        <w:rPr>
          <w:vertAlign w:val="superscript"/>
        </w:rPr>
        <w:t>29</w:t>
      </w:r>
      <w:r w:rsidR="00E57671">
        <w:rPr>
          <w:vertAlign w:val="superscript"/>
        </w:rPr>
        <w:t>,3</w:t>
      </w:r>
      <w:r w:rsidR="00CB4E22">
        <w:rPr>
          <w:vertAlign w:val="superscript"/>
        </w:rPr>
        <w:t>2</w:t>
      </w:r>
    </w:p>
    <w:p w14:paraId="6D79FD6B" w14:textId="4E09E400" w:rsidR="00B07366" w:rsidRPr="004526CB" w:rsidRDefault="00B07366" w:rsidP="00B527A5">
      <w:pPr>
        <w:pStyle w:val="BodyText"/>
      </w:pPr>
      <w:r w:rsidRPr="004526CB">
        <w:t>Authorization of 12 months may be granted for treatment of colorectal cancer, including appendiceal adenocarcinoma and anal adenocarcinoma.</w:t>
      </w:r>
    </w:p>
    <w:p w14:paraId="096BECB5" w14:textId="77777777" w:rsidR="00B07366" w:rsidRPr="004526CB" w:rsidRDefault="00B07366" w:rsidP="00B527A5">
      <w:pPr>
        <w:pStyle w:val="Heading3"/>
      </w:pPr>
      <w:r w:rsidRPr="004526CB">
        <w:t>Small Bowel Adenocarcinoma</w:t>
      </w:r>
      <w:r w:rsidRPr="004526CB">
        <w:rPr>
          <w:vertAlign w:val="superscript"/>
        </w:rPr>
        <w:t>7</w:t>
      </w:r>
    </w:p>
    <w:p w14:paraId="0C649514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small bowel adenocarcinoma.</w:t>
      </w:r>
    </w:p>
    <w:p w14:paraId="6C00D4AB" w14:textId="77777777" w:rsidR="00B07366" w:rsidRPr="004526CB" w:rsidRDefault="00B07366" w:rsidP="00B527A5">
      <w:pPr>
        <w:pStyle w:val="Heading3"/>
      </w:pPr>
      <w:r w:rsidRPr="004526CB">
        <w:t>Ampullary Adenocarcinoma</w:t>
      </w:r>
      <w:r w:rsidRPr="004526CB">
        <w:rPr>
          <w:vertAlign w:val="superscript"/>
        </w:rPr>
        <w:t>7</w:t>
      </w:r>
    </w:p>
    <w:p w14:paraId="76EB8F91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intestinal-type ampullary adenocarcinoma that is progressive, unresectable, or metastatic.</w:t>
      </w:r>
    </w:p>
    <w:p w14:paraId="13EC0526" w14:textId="4A7F3996" w:rsidR="00B07366" w:rsidRPr="004526CB" w:rsidRDefault="00B07366" w:rsidP="00B527A5">
      <w:pPr>
        <w:pStyle w:val="Heading3"/>
      </w:pPr>
      <w:r w:rsidRPr="004526CB">
        <w:t>Non-Small Cell Lung Cancer (NSCLC)</w:t>
      </w:r>
      <w:r w:rsidRPr="004526CB">
        <w:rPr>
          <w:vertAlign w:val="superscript"/>
        </w:rPr>
        <w:t>1-7</w:t>
      </w:r>
      <w:r w:rsidR="00E57671">
        <w:rPr>
          <w:vertAlign w:val="superscript"/>
        </w:rPr>
        <w:t>,3</w:t>
      </w:r>
      <w:r w:rsidR="00CB4E22">
        <w:rPr>
          <w:vertAlign w:val="superscript"/>
        </w:rPr>
        <w:t>2</w:t>
      </w:r>
    </w:p>
    <w:p w14:paraId="608E34B5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recurrent, unresectable, advanced, or metastatic non-squamous NSCLC.</w:t>
      </w:r>
    </w:p>
    <w:p w14:paraId="7F81A3B3" w14:textId="27CD0EA3" w:rsidR="00B07366" w:rsidRPr="004526CB" w:rsidRDefault="00B07366" w:rsidP="00B527A5">
      <w:pPr>
        <w:pStyle w:val="Heading3"/>
      </w:pPr>
      <w:r w:rsidRPr="004526CB">
        <w:t>CNS Cancer</w:t>
      </w:r>
      <w:r w:rsidRPr="004526CB">
        <w:rPr>
          <w:vertAlign w:val="superscript"/>
        </w:rPr>
        <w:t>1-7</w:t>
      </w:r>
      <w:r w:rsidR="00E57671">
        <w:rPr>
          <w:vertAlign w:val="superscript"/>
        </w:rPr>
        <w:t>,3</w:t>
      </w:r>
      <w:r w:rsidR="00CB4E22">
        <w:rPr>
          <w:vertAlign w:val="superscript"/>
        </w:rPr>
        <w:t>2</w:t>
      </w:r>
    </w:p>
    <w:p w14:paraId="2B71F6C0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the following types of CNS cancer:</w:t>
      </w:r>
    </w:p>
    <w:p w14:paraId="4E13ECCE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Circumscribed glioma</w:t>
      </w:r>
    </w:p>
    <w:p w14:paraId="6D70787E" w14:textId="4B99CD01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Diffuse high grade</w:t>
      </w:r>
      <w:r w:rsidR="00EF796D">
        <w:t xml:space="preserve"> and high grade </w:t>
      </w:r>
      <w:r w:rsidRPr="004526CB">
        <w:t>gliomas</w:t>
      </w:r>
    </w:p>
    <w:p w14:paraId="0ECB7BED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Glioblastoma</w:t>
      </w:r>
    </w:p>
    <w:p w14:paraId="2F5DFA35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IDH mutant astrocytoma (WHO Grade 2, 3 or 4)</w:t>
      </w:r>
    </w:p>
    <w:p w14:paraId="43548531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Oligodendroglioma (WHO Grade 2 or 3)</w:t>
      </w:r>
    </w:p>
    <w:p w14:paraId="1C867CA6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 xml:space="preserve">Intracranial and Spinal Ependymoma (excludes </w:t>
      </w:r>
      <w:proofErr w:type="spellStart"/>
      <w:r w:rsidRPr="004526CB">
        <w:t>subependymoma</w:t>
      </w:r>
      <w:proofErr w:type="spellEnd"/>
      <w:r w:rsidRPr="004526CB">
        <w:t>)</w:t>
      </w:r>
    </w:p>
    <w:p w14:paraId="6E68A998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Medulloblastoma</w:t>
      </w:r>
    </w:p>
    <w:p w14:paraId="559B15AB" w14:textId="0580AFF3" w:rsidR="0048476C" w:rsidRPr="004526CB" w:rsidRDefault="00B07366" w:rsidP="0048476C">
      <w:pPr>
        <w:pStyle w:val="ListParagraph"/>
        <w:numPr>
          <w:ilvl w:val="0"/>
          <w:numId w:val="28"/>
        </w:numPr>
      </w:pPr>
      <w:r w:rsidRPr="004526CB">
        <w:t>Primary Central Nervous System Lymphoma</w:t>
      </w:r>
    </w:p>
    <w:p w14:paraId="5030D8A8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Meningiomas</w:t>
      </w:r>
    </w:p>
    <w:p w14:paraId="7CF484F0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Limited and Extensive Brain Metastases</w:t>
      </w:r>
    </w:p>
    <w:p w14:paraId="4B9CD835" w14:textId="77777777" w:rsidR="00B07366" w:rsidRPr="004526CB" w:rsidRDefault="00B07366" w:rsidP="00597F1F">
      <w:pPr>
        <w:pStyle w:val="ListParagraph"/>
        <w:numPr>
          <w:ilvl w:val="0"/>
          <w:numId w:val="28"/>
        </w:numPr>
      </w:pPr>
      <w:r w:rsidRPr="004526CB">
        <w:t>Metastatic Spine Tumors</w:t>
      </w:r>
    </w:p>
    <w:p w14:paraId="46A4C949" w14:textId="1E622A72" w:rsidR="00ED5B28" w:rsidRPr="004526CB" w:rsidRDefault="0048476C" w:rsidP="00597F1F">
      <w:pPr>
        <w:pStyle w:val="ListParagraph"/>
        <w:numPr>
          <w:ilvl w:val="0"/>
          <w:numId w:val="28"/>
        </w:numPr>
      </w:pPr>
      <w:r w:rsidRPr="004526CB">
        <w:t>Primary Spinal Cord Tumors</w:t>
      </w:r>
    </w:p>
    <w:p w14:paraId="5B072E40" w14:textId="45DEF2A2" w:rsidR="00B07366" w:rsidRPr="004526CB" w:rsidRDefault="00B07366" w:rsidP="00B527A5">
      <w:pPr>
        <w:pStyle w:val="Heading3"/>
      </w:pPr>
      <w:r w:rsidRPr="004526CB">
        <w:t>Ovarian Cancer/Fallopian Tube Cancer/Primary Peritoneal Cancer</w:t>
      </w:r>
      <w:r w:rsidRPr="004526CB">
        <w:rPr>
          <w:vertAlign w:val="superscript"/>
        </w:rPr>
        <w:t>1-7</w:t>
      </w:r>
      <w:r w:rsidR="00E57671">
        <w:rPr>
          <w:vertAlign w:val="superscript"/>
        </w:rPr>
        <w:t>,3</w:t>
      </w:r>
      <w:r w:rsidR="000C6616">
        <w:rPr>
          <w:vertAlign w:val="superscript"/>
        </w:rPr>
        <w:t>1</w:t>
      </w:r>
    </w:p>
    <w:p w14:paraId="3D862A89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epithelial ovarian cancer, fallopian tube cancer, primary peritoneal cancer, and malignant sex cord stromal tumors.</w:t>
      </w:r>
    </w:p>
    <w:p w14:paraId="1CD53FE8" w14:textId="371B29E9" w:rsidR="00B07366" w:rsidRPr="004526CB" w:rsidRDefault="00B07366" w:rsidP="00B527A5">
      <w:pPr>
        <w:pStyle w:val="Heading3"/>
      </w:pPr>
      <w:r w:rsidRPr="004526CB">
        <w:t>Uterine Neoplasms/Endometrial Carcinoma</w:t>
      </w:r>
      <w:r w:rsidRPr="004526CB">
        <w:rPr>
          <w:vertAlign w:val="superscript"/>
        </w:rPr>
        <w:t>7</w:t>
      </w:r>
      <w:r w:rsidR="00937732">
        <w:rPr>
          <w:vertAlign w:val="superscript"/>
        </w:rPr>
        <w:t>,3</w:t>
      </w:r>
      <w:r w:rsidR="000E01BA">
        <w:rPr>
          <w:vertAlign w:val="superscript"/>
        </w:rPr>
        <w:t>0</w:t>
      </w:r>
    </w:p>
    <w:p w14:paraId="3C016061" w14:textId="130BE6E9" w:rsidR="00B07366" w:rsidRPr="004526CB" w:rsidRDefault="00B07366" w:rsidP="00B527A5">
      <w:pPr>
        <w:pStyle w:val="BodyText"/>
      </w:pPr>
      <w:r w:rsidRPr="004526CB">
        <w:t xml:space="preserve">Authorization of 12 months may be granted for treatment of progressive, </w:t>
      </w:r>
      <w:r w:rsidR="00937732">
        <w:t xml:space="preserve">persistent, </w:t>
      </w:r>
      <w:r w:rsidRPr="004526CB">
        <w:t>recurrent, or metastatic uterine neoplasms or endometrial carcinoma.</w:t>
      </w:r>
    </w:p>
    <w:p w14:paraId="42450EFE" w14:textId="78276E60" w:rsidR="00B07366" w:rsidRPr="004526CB" w:rsidRDefault="00B07366" w:rsidP="00B527A5">
      <w:pPr>
        <w:pStyle w:val="Heading3"/>
      </w:pPr>
      <w:r w:rsidRPr="004526CB">
        <w:t>Cervical Cancer</w:t>
      </w:r>
      <w:r w:rsidRPr="004526CB">
        <w:rPr>
          <w:vertAlign w:val="superscript"/>
        </w:rPr>
        <w:t>1-7</w:t>
      </w:r>
      <w:r w:rsidR="00E57671">
        <w:rPr>
          <w:vertAlign w:val="superscript"/>
        </w:rPr>
        <w:t>,3</w:t>
      </w:r>
      <w:r w:rsidR="000E01BA">
        <w:rPr>
          <w:vertAlign w:val="superscript"/>
        </w:rPr>
        <w:t>2</w:t>
      </w:r>
    </w:p>
    <w:p w14:paraId="6E5D1098" w14:textId="4D8E66A3" w:rsidR="00B07366" w:rsidRPr="00B07366" w:rsidRDefault="00B07366" w:rsidP="00B527A5">
      <w:pPr>
        <w:pStyle w:val="BodyText"/>
      </w:pPr>
      <w:r w:rsidRPr="004526CB">
        <w:t>Authorization of 12 months may be granted for treatment of persistent, recurrent, or metastatic cervical cancer.</w:t>
      </w:r>
    </w:p>
    <w:p w14:paraId="18C5CCBF" w14:textId="4B7074CA" w:rsidR="001E6C72" w:rsidRPr="004526CB" w:rsidRDefault="001E6C72" w:rsidP="001E6C72">
      <w:pPr>
        <w:pStyle w:val="Heading3"/>
      </w:pPr>
      <w:r w:rsidRPr="004526CB">
        <w:t>Vaginal Cancer</w:t>
      </w:r>
      <w:r w:rsidRPr="004526CB">
        <w:rPr>
          <w:vertAlign w:val="superscript"/>
        </w:rPr>
        <w:t>7</w:t>
      </w:r>
    </w:p>
    <w:p w14:paraId="6527B04C" w14:textId="7D32E5E6" w:rsidR="001E6C72" w:rsidRPr="00B07366" w:rsidRDefault="001E6C72" w:rsidP="00B527A5">
      <w:pPr>
        <w:pStyle w:val="BodyText"/>
      </w:pPr>
      <w:r w:rsidRPr="004526CB">
        <w:t>Authorization of 12 months may be granted for treatment of</w:t>
      </w:r>
      <w:r>
        <w:t xml:space="preserve"> </w:t>
      </w:r>
      <w:r w:rsidRPr="004526CB">
        <w:t>recurrent or metastatic vaginal cancer.</w:t>
      </w:r>
    </w:p>
    <w:p w14:paraId="082CF3FA" w14:textId="089874C2" w:rsidR="00B07366" w:rsidRPr="004526CB" w:rsidRDefault="00B07366" w:rsidP="00B527A5">
      <w:pPr>
        <w:pStyle w:val="Heading3"/>
      </w:pPr>
      <w:r w:rsidRPr="004526CB">
        <w:t>Renal Cell Carcinoma</w:t>
      </w:r>
      <w:r w:rsidRPr="004526CB">
        <w:rPr>
          <w:vertAlign w:val="superscript"/>
        </w:rPr>
        <w:t>1-7</w:t>
      </w:r>
      <w:r w:rsidR="00E57671">
        <w:rPr>
          <w:vertAlign w:val="superscript"/>
        </w:rPr>
        <w:t>,3</w:t>
      </w:r>
      <w:r w:rsidR="000E01BA">
        <w:rPr>
          <w:vertAlign w:val="superscript"/>
        </w:rPr>
        <w:t>2</w:t>
      </w:r>
    </w:p>
    <w:p w14:paraId="3F98684E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relapsed or stage IV renal cell carcinoma.</w:t>
      </w:r>
    </w:p>
    <w:p w14:paraId="22DCFAAB" w14:textId="08574BC5" w:rsidR="00B07366" w:rsidRPr="004526CB" w:rsidRDefault="00B07366" w:rsidP="00B527A5">
      <w:pPr>
        <w:pStyle w:val="Heading3"/>
      </w:pPr>
      <w:r w:rsidRPr="004526CB">
        <w:t>Soft Tissue Sarcoma</w:t>
      </w:r>
      <w:r w:rsidRPr="004526CB">
        <w:rPr>
          <w:vertAlign w:val="superscript"/>
        </w:rPr>
        <w:t>7</w:t>
      </w:r>
      <w:r w:rsidR="00346F3D">
        <w:rPr>
          <w:vertAlign w:val="superscript"/>
        </w:rPr>
        <w:t>,3</w:t>
      </w:r>
      <w:r w:rsidR="000E01BA">
        <w:rPr>
          <w:vertAlign w:val="superscript"/>
        </w:rPr>
        <w:t>1</w:t>
      </w:r>
    </w:p>
    <w:p w14:paraId="128939C1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angiosarcoma, as single agent therapy.</w:t>
      </w:r>
    </w:p>
    <w:p w14:paraId="35796D77" w14:textId="6D657E44" w:rsidR="00B07366" w:rsidRPr="004526CB" w:rsidRDefault="00B07366" w:rsidP="00B527A5">
      <w:pPr>
        <w:pStyle w:val="BodyText"/>
      </w:pPr>
      <w:r w:rsidRPr="004526CB">
        <w:t>Authorization of 12 months may be granted for treatment of solitary fibrous tumor or hemangiopericytoma, in combination with temozolomide.</w:t>
      </w:r>
    </w:p>
    <w:p w14:paraId="7885C621" w14:textId="77777777" w:rsidR="00B07366" w:rsidRPr="004526CB" w:rsidRDefault="00B07366" w:rsidP="00B527A5">
      <w:pPr>
        <w:pStyle w:val="Heading3"/>
      </w:pPr>
      <w:r w:rsidRPr="004526CB">
        <w:t>Mesothelioma</w:t>
      </w:r>
      <w:r w:rsidRPr="004526CB">
        <w:rPr>
          <w:vertAlign w:val="superscript"/>
        </w:rPr>
        <w:t>7,8</w:t>
      </w:r>
    </w:p>
    <w:p w14:paraId="3F0EDDDE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pleural mesothelioma, peritoneal mesothelioma, pericardial mesothelioma, or tunica vaginalis testis mesothelioma when any of the following criteria are met:</w:t>
      </w:r>
    </w:p>
    <w:p w14:paraId="38626D7C" w14:textId="77777777" w:rsidR="00B07366" w:rsidRPr="004526CB" w:rsidRDefault="00B07366" w:rsidP="00597F1F">
      <w:pPr>
        <w:pStyle w:val="ListParagraph"/>
        <w:numPr>
          <w:ilvl w:val="0"/>
          <w:numId w:val="29"/>
        </w:numPr>
      </w:pPr>
      <w:bookmarkStart w:id="2" w:name="OLE_LINK2"/>
      <w:bookmarkStart w:id="3" w:name="OLE_LINK3"/>
      <w:r w:rsidRPr="004526CB">
        <w:t>As first-line therapy in combination with pemetrexed and either cisplatin or carboplatin, followed by single-agent maintenance bevacizumab</w:t>
      </w:r>
      <w:bookmarkEnd w:id="2"/>
    </w:p>
    <w:p w14:paraId="330EEDBD" w14:textId="77777777" w:rsidR="00B07366" w:rsidRPr="004526CB" w:rsidRDefault="00B07366" w:rsidP="00597F1F">
      <w:pPr>
        <w:pStyle w:val="ListParagraph"/>
        <w:numPr>
          <w:ilvl w:val="0"/>
          <w:numId w:val="29"/>
        </w:numPr>
        <w:spacing w:after="120"/>
      </w:pPr>
      <w:r w:rsidRPr="004526CB">
        <w:t>As subsequent therapy in combination with pemetrexed and either cisplatin or carboplatin if immunotherapy was administered as first-line treatment</w:t>
      </w:r>
    </w:p>
    <w:bookmarkEnd w:id="3"/>
    <w:p w14:paraId="5EC32E45" w14:textId="7F4C19B4" w:rsidR="00B07366" w:rsidRPr="004526CB" w:rsidRDefault="00B07366" w:rsidP="00B527A5">
      <w:pPr>
        <w:pStyle w:val="BodyText"/>
      </w:pPr>
      <w:r w:rsidRPr="004526CB">
        <w:t>Authorization of 12 months may be granted for treatment of peritoneal mesothelioma, pericardial mesothelioma, or tunica vaginalis testis mesothelioma when used in combination with atezolizumab as subsequent therapy.</w:t>
      </w:r>
    </w:p>
    <w:p w14:paraId="38B16445" w14:textId="77777777" w:rsidR="00B07366" w:rsidRPr="004526CB" w:rsidRDefault="00B07366" w:rsidP="00B527A5">
      <w:pPr>
        <w:pStyle w:val="Heading3"/>
      </w:pPr>
      <w:r w:rsidRPr="004526CB">
        <w:t>Vulvar Carcinoma</w:t>
      </w:r>
      <w:r w:rsidRPr="004526CB">
        <w:rPr>
          <w:vertAlign w:val="superscript"/>
        </w:rPr>
        <w:t>7</w:t>
      </w:r>
    </w:p>
    <w:p w14:paraId="0860783F" w14:textId="77777777" w:rsidR="00B07366" w:rsidRPr="004526CB" w:rsidRDefault="00B07366" w:rsidP="00B527A5">
      <w:pPr>
        <w:pStyle w:val="BodyText"/>
      </w:pPr>
      <w:r w:rsidRPr="004526CB">
        <w:t>Authorization of 12 months may be granted for treatment of advanced, recurrent, or metastatic vulvar carcinoma, including squamous cell carcinoma and adenocarcinoma.</w:t>
      </w:r>
    </w:p>
    <w:p w14:paraId="121013B9" w14:textId="77777777" w:rsidR="00B07366" w:rsidRPr="004526CB" w:rsidRDefault="00B07366" w:rsidP="00B527A5">
      <w:pPr>
        <w:pStyle w:val="Heading3"/>
      </w:pPr>
      <w:r w:rsidRPr="004526CB">
        <w:t>Hepatocellular Carcinoma</w:t>
      </w:r>
      <w:r w:rsidRPr="004526CB">
        <w:rPr>
          <w:vertAlign w:val="superscript"/>
        </w:rPr>
        <w:t>1,7</w:t>
      </w:r>
    </w:p>
    <w:p w14:paraId="0DD16B37" w14:textId="33EEBB4B" w:rsidR="00B07366" w:rsidRPr="004526CB" w:rsidRDefault="00B07366" w:rsidP="00B527A5">
      <w:pPr>
        <w:pStyle w:val="BodyText"/>
      </w:pPr>
      <w:r>
        <w:t xml:space="preserve">Authorization of 12 months may be granted for treatment of unresectable or </w:t>
      </w:r>
      <w:r w:rsidR="008B1DDA">
        <w:t>extrahepatic/</w:t>
      </w:r>
      <w:r>
        <w:t>metastatic hepatocellular carcinoma, when the requested medication will be used as initial treatment in combination with atezolizumab</w:t>
      </w:r>
      <w:r w:rsidR="00D101AA">
        <w:t>.</w:t>
      </w:r>
    </w:p>
    <w:p w14:paraId="7FC70EEA" w14:textId="3B282722" w:rsidR="009919D8" w:rsidRPr="00B07366" w:rsidRDefault="009919D8" w:rsidP="00B527A5">
      <w:pPr>
        <w:pStyle w:val="BodyText"/>
      </w:pPr>
      <w:bookmarkStart w:id="4" w:name="_Hlk167785993"/>
      <w:r w:rsidRPr="004526CB">
        <w:t>Authorization of 12 months may be granted for adjuvant treatment of operable hepatocellular carcinoma, when the member is at a high risk of recurrence and the requested medication will be used in combination with atezolizumab.</w:t>
      </w:r>
      <w:bookmarkEnd w:id="4"/>
    </w:p>
    <w:p w14:paraId="5D7BF5AF" w14:textId="4FBEDE2F" w:rsidR="00B07366" w:rsidRPr="00B07366" w:rsidRDefault="003B4F32" w:rsidP="00B527A5">
      <w:pPr>
        <w:pStyle w:val="Heading2"/>
      </w:pPr>
      <w:r w:rsidRPr="00B07366">
        <w:t xml:space="preserve">Continuation </w:t>
      </w:r>
      <w:r>
        <w:t>o</w:t>
      </w:r>
      <w:r w:rsidRPr="00B07366">
        <w:t>f Therapy</w:t>
      </w:r>
    </w:p>
    <w:p w14:paraId="7EFB02A3" w14:textId="77777777" w:rsidR="00B07366" w:rsidRPr="00B07366" w:rsidRDefault="00B07366" w:rsidP="00B527A5">
      <w:pPr>
        <w:pStyle w:val="Heading3"/>
      </w:pPr>
      <w:r w:rsidRPr="00B07366">
        <w:t>Ophthalmic Disorders</w:t>
      </w:r>
    </w:p>
    <w:p w14:paraId="7EA114D5" w14:textId="4200DFB1" w:rsidR="00B07366" w:rsidRPr="00B07366" w:rsidRDefault="00B07366" w:rsidP="00B527A5">
      <w:pPr>
        <w:pStyle w:val="BodyText"/>
      </w:pPr>
      <w:r w:rsidRPr="00B07366">
        <w:t xml:space="preserve">For ophthalmic disorders, authorization of 12 months may be granted for continued treatment in members requesting reauthorization for an indication listed in </w:t>
      </w:r>
      <w:r w:rsidR="005E5CF4">
        <w:t>coverage criteria section</w:t>
      </w:r>
      <w:r w:rsidRPr="00B07366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loss).</w:t>
      </w:r>
    </w:p>
    <w:p w14:paraId="6817C9F2" w14:textId="77777777" w:rsidR="00B07366" w:rsidRPr="00B07366" w:rsidRDefault="00B07366" w:rsidP="00B527A5">
      <w:pPr>
        <w:pStyle w:val="Heading3"/>
      </w:pPr>
      <w:r w:rsidRPr="00B07366">
        <w:t>All Other Indications</w:t>
      </w:r>
    </w:p>
    <w:p w14:paraId="73AB302A" w14:textId="36925DE5" w:rsidR="00B07366" w:rsidRPr="00B07366" w:rsidRDefault="00B07366" w:rsidP="00B527A5">
      <w:pPr>
        <w:pStyle w:val="BodyText"/>
      </w:pPr>
      <w:r w:rsidRPr="00B07366">
        <w:t xml:space="preserve">For all other indications, authorization of 12 months may be granted for continued treatment in members requesting reauthorization for an indication listed in </w:t>
      </w:r>
      <w:r w:rsidR="005E5CF4">
        <w:t>coverage criteria section</w:t>
      </w:r>
      <w:r w:rsidRPr="00B07366">
        <w:t xml:space="preserve"> when there is no evidence of unacceptable toxicity or disease progression while on the current regimen.</w:t>
      </w:r>
    </w:p>
    <w:p w14:paraId="392B52E0" w14:textId="2A5FA7EC" w:rsidR="003B4F32" w:rsidRDefault="003B4F32" w:rsidP="003B4F32">
      <w:pPr>
        <w:pStyle w:val="Heading2"/>
      </w:pPr>
      <w:r w:rsidRPr="003A6F34">
        <w:t>References</w:t>
      </w:r>
    </w:p>
    <w:p w14:paraId="4E172ED8" w14:textId="77777777" w:rsidR="003B4F32" w:rsidRPr="003B4F32" w:rsidRDefault="003B4F32" w:rsidP="003B4F32">
      <w:pPr>
        <w:pStyle w:val="ReferenceOrdered"/>
        <w:ind w:left="360"/>
      </w:pPr>
      <w:r w:rsidRPr="003B4F32">
        <w:t>Avastin [package insert]. South San Francisco, CA: Genentech, Inc.; September 2022.</w:t>
      </w:r>
    </w:p>
    <w:p w14:paraId="6A6CFBA5" w14:textId="77777777" w:rsidR="003B4F32" w:rsidRPr="003B4F32" w:rsidRDefault="003B4F32" w:rsidP="003B4F32">
      <w:pPr>
        <w:pStyle w:val="ReferenceOrdered"/>
        <w:ind w:left="360"/>
      </w:pPr>
      <w:bookmarkStart w:id="5" w:name="_Hlk101275890"/>
      <w:r w:rsidRPr="003B4F32">
        <w:t xml:space="preserve">Alymsys [package insert]. Bridgewater, NJ: </w:t>
      </w:r>
      <w:proofErr w:type="spellStart"/>
      <w:r w:rsidRPr="003B4F32">
        <w:t>Amneal</w:t>
      </w:r>
      <w:proofErr w:type="spellEnd"/>
      <w:r w:rsidRPr="003B4F32">
        <w:t xml:space="preserve"> Pharmaceuticals LLC; April 2022.</w:t>
      </w:r>
    </w:p>
    <w:p w14:paraId="71FEC759" w14:textId="77777777" w:rsidR="003B4F32" w:rsidRPr="003B4F32" w:rsidRDefault="003B4F32" w:rsidP="003B4F32">
      <w:pPr>
        <w:pStyle w:val="ReferenceOrdered"/>
        <w:ind w:left="360"/>
      </w:pPr>
      <w:proofErr w:type="spellStart"/>
      <w:r w:rsidRPr="003B4F32">
        <w:t>Avzivi</w:t>
      </w:r>
      <w:proofErr w:type="spellEnd"/>
      <w:r w:rsidRPr="003B4F32">
        <w:t xml:space="preserve"> [package insert].</w:t>
      </w:r>
      <w:r w:rsidRPr="004C5999">
        <w:t xml:space="preserve"> </w:t>
      </w:r>
      <w:r w:rsidRPr="003B4F32">
        <w:t>Guangzhou, Guangdong Province, China: Bio-Thera Solutions, Ltd.; December 2023.</w:t>
      </w:r>
    </w:p>
    <w:bookmarkEnd w:id="5"/>
    <w:p w14:paraId="56329C70" w14:textId="77777777" w:rsidR="003B4F32" w:rsidRPr="003B4F32" w:rsidRDefault="003B4F32" w:rsidP="003B4F32">
      <w:pPr>
        <w:pStyle w:val="ReferenceOrdered"/>
        <w:ind w:left="360"/>
      </w:pPr>
      <w:r w:rsidRPr="003B4F32">
        <w:t xml:space="preserve">Mvasi [package insert]. Thousand Oaks, CA: Amgen Inc.; </w:t>
      </w:r>
      <w:bookmarkStart w:id="6" w:name="OLE_LINK1"/>
      <w:r w:rsidRPr="003B4F32">
        <w:t>February 2023</w:t>
      </w:r>
      <w:bookmarkEnd w:id="6"/>
      <w:r w:rsidRPr="003B4F32">
        <w:t>.</w:t>
      </w:r>
    </w:p>
    <w:p w14:paraId="6EA85F4F" w14:textId="1518FACB" w:rsidR="003B4F32" w:rsidRPr="003B4F32" w:rsidRDefault="003B4F32" w:rsidP="003B4F32">
      <w:pPr>
        <w:pStyle w:val="ReferenceOrdered"/>
        <w:ind w:left="360"/>
      </w:pPr>
      <w:r w:rsidRPr="003B4F32">
        <w:t xml:space="preserve">Zirabev [package insert]. New York, NY: Pfizer Inc.; </w:t>
      </w:r>
      <w:r w:rsidR="0050464B">
        <w:t>August 2024</w:t>
      </w:r>
      <w:r w:rsidRPr="003B4F32">
        <w:t>.</w:t>
      </w:r>
    </w:p>
    <w:p w14:paraId="4C5D45BF" w14:textId="77777777" w:rsidR="003B4F32" w:rsidRPr="003B4F32" w:rsidRDefault="003B4F32" w:rsidP="003B4F32">
      <w:pPr>
        <w:pStyle w:val="ReferenceOrdered"/>
        <w:ind w:left="360"/>
      </w:pPr>
      <w:proofErr w:type="spellStart"/>
      <w:r w:rsidRPr="003B4F32">
        <w:t>Vegzelma</w:t>
      </w:r>
      <w:proofErr w:type="spellEnd"/>
      <w:r w:rsidRPr="003B4F32">
        <w:t xml:space="preserve"> [package insert]. Incheon, Republic of Korea: </w:t>
      </w:r>
      <w:proofErr w:type="spellStart"/>
      <w:r w:rsidRPr="003B4F32">
        <w:t>Celltrion</w:t>
      </w:r>
      <w:proofErr w:type="spellEnd"/>
      <w:r w:rsidRPr="003B4F32">
        <w:t>, Inc.; February 2023.</w:t>
      </w:r>
    </w:p>
    <w:p w14:paraId="31498788" w14:textId="6141D516" w:rsidR="003B4F32" w:rsidRPr="00E63D4A" w:rsidRDefault="003B4F32" w:rsidP="003B4F32">
      <w:pPr>
        <w:pStyle w:val="ReferenceOrdered"/>
        <w:ind w:left="360"/>
      </w:pPr>
      <w:bookmarkStart w:id="7" w:name="_Hlk182304811"/>
      <w:r w:rsidRPr="003B4F32">
        <w:t>The NCCN Drugs &amp; Biologics Compendium® © 202</w:t>
      </w:r>
      <w:r w:rsidR="00E63D4A">
        <w:t>4</w:t>
      </w:r>
      <w:r w:rsidRPr="003B4F32">
        <w:t xml:space="preserve"> National Comprehensive Cancer Network, Inc. Available at: https://www.nccn.org. </w:t>
      </w:r>
      <w:r w:rsidRPr="00E63D4A">
        <w:t xml:space="preserve">Accessed </w:t>
      </w:r>
      <w:r w:rsidR="009546F6">
        <w:t>November</w:t>
      </w:r>
      <w:r w:rsidR="009546F6" w:rsidRPr="00E63D4A">
        <w:t xml:space="preserve"> 1</w:t>
      </w:r>
      <w:r w:rsidR="009546F6">
        <w:t>1</w:t>
      </w:r>
      <w:r w:rsidR="00E63D4A" w:rsidRPr="00E63D4A">
        <w:t>, 2024</w:t>
      </w:r>
      <w:r w:rsidRPr="00E63D4A">
        <w:t>.</w:t>
      </w:r>
    </w:p>
    <w:bookmarkEnd w:id="7"/>
    <w:p w14:paraId="6CE12965" w14:textId="444B5D1C" w:rsidR="003B4F32" w:rsidRPr="003B4F32" w:rsidRDefault="003B4F32" w:rsidP="003B4F32">
      <w:pPr>
        <w:pStyle w:val="ReferenceOrdered"/>
        <w:ind w:left="360"/>
      </w:pPr>
      <w:r w:rsidRPr="003B4F32">
        <w:t xml:space="preserve">Micromedex Solutions [database online]. Truven Health Analytics, Greenwood Village, CO. Available at: http://www.micromedexsolutions.com. Accessed </w:t>
      </w:r>
      <w:r w:rsidR="005E5CF4">
        <w:t>February</w:t>
      </w:r>
      <w:r w:rsidR="009546F6" w:rsidRPr="003B4F32">
        <w:t xml:space="preserve"> </w:t>
      </w:r>
      <w:r w:rsidRPr="003B4F32">
        <w:t>1</w:t>
      </w:r>
      <w:r w:rsidR="005E5CF4">
        <w:t>0</w:t>
      </w:r>
      <w:r w:rsidRPr="003B4F32">
        <w:t>, 202</w:t>
      </w:r>
      <w:r w:rsidR="005E5CF4">
        <w:t>5</w:t>
      </w:r>
      <w:r w:rsidRPr="003B4F32">
        <w:t>.</w:t>
      </w:r>
    </w:p>
    <w:p w14:paraId="6FACF781" w14:textId="77777777" w:rsidR="003B4F32" w:rsidRPr="003B4F32" w:rsidRDefault="003B4F32" w:rsidP="003B4F32">
      <w:pPr>
        <w:pStyle w:val="ReferenceOrdered"/>
        <w:ind w:left="360"/>
      </w:pPr>
      <w:r w:rsidRPr="003D6811">
        <w:rPr>
          <w:lang w:val="fr-FR"/>
        </w:rPr>
        <w:t xml:space="preserve">Chan WM, Lai TY, Lui DT, et al. </w:t>
      </w:r>
      <w:r w:rsidRPr="003B4F32">
        <w:t xml:space="preserve">Intravitreal bevacizumab (Avastin) for myopic choroidal neovascularization: 1-year results of a prospective pilot study. Br J </w:t>
      </w:r>
      <w:proofErr w:type="spellStart"/>
      <w:r w:rsidRPr="003B4F32">
        <w:t>Ophthalmol</w:t>
      </w:r>
      <w:proofErr w:type="spellEnd"/>
      <w:r w:rsidRPr="003B4F32">
        <w:t>. 2009;93(2):150-154.</w:t>
      </w:r>
    </w:p>
    <w:p w14:paraId="59A014A3" w14:textId="77777777" w:rsidR="003B4F32" w:rsidRPr="003B4F32" w:rsidRDefault="003B4F32" w:rsidP="003B4F32">
      <w:pPr>
        <w:pStyle w:val="ReferenceOrdered"/>
        <w:ind w:left="360"/>
      </w:pPr>
      <w:r w:rsidRPr="003B4F32">
        <w:t>Clinical Consult: CVS Caremark Clinical Programs Review. Focus on Age-Related Macular Degeneration Clinical Programs. April 2011.</w:t>
      </w:r>
    </w:p>
    <w:p w14:paraId="6D4485F5" w14:textId="77777777" w:rsidR="003B4F32" w:rsidRPr="003B4F32" w:rsidRDefault="003B4F32" w:rsidP="003B4F32">
      <w:pPr>
        <w:pStyle w:val="ReferenceOrdered"/>
        <w:ind w:left="360"/>
      </w:pPr>
      <w:r w:rsidRPr="003B4F32">
        <w:t xml:space="preserve">Gupta B, </w:t>
      </w:r>
      <w:proofErr w:type="spellStart"/>
      <w:r w:rsidRPr="003B4F32">
        <w:t>Elagouz</w:t>
      </w:r>
      <w:proofErr w:type="spellEnd"/>
      <w:r w:rsidRPr="003B4F32">
        <w:t xml:space="preserve"> M, </w:t>
      </w:r>
      <w:proofErr w:type="spellStart"/>
      <w:r w:rsidRPr="003B4F32">
        <w:t>Sivaprasad</w:t>
      </w:r>
      <w:proofErr w:type="spellEnd"/>
      <w:r w:rsidRPr="003B4F32">
        <w:t xml:space="preserve"> S. Intravitreal bevacizumab for choroidal neovascularization secondary to causes other than age-related macular degeneration. Eye. 2010;24:203-213.</w:t>
      </w:r>
    </w:p>
    <w:p w14:paraId="78D3F28C" w14:textId="77777777" w:rsidR="003B4F32" w:rsidRPr="003B4F32" w:rsidRDefault="003B4F32" w:rsidP="003B4F32">
      <w:pPr>
        <w:pStyle w:val="ReferenceOrdered"/>
        <w:ind w:left="360"/>
      </w:pPr>
      <w:r w:rsidRPr="003B4F32">
        <w:t>CATT Research Group, Martin DF, Maguire MG, et al. Ranibizumab and bevacizumab for neovascular age-related macular degeneration. N Engl J Med. 2011;364(20):1897-1908.</w:t>
      </w:r>
    </w:p>
    <w:p w14:paraId="760CF073" w14:textId="77777777" w:rsidR="003B4F32" w:rsidRPr="003B4F32" w:rsidRDefault="003B4F32" w:rsidP="003B4F32">
      <w:pPr>
        <w:pStyle w:val="ReferenceOrdered"/>
        <w:ind w:left="360"/>
      </w:pPr>
      <w:r w:rsidRPr="003D6811">
        <w:rPr>
          <w:lang w:val="it-IT"/>
        </w:rPr>
        <w:t xml:space="preserve">Russo V, Barone A, Conte E, et al. </w:t>
      </w:r>
      <w:r w:rsidRPr="00262B5B">
        <w:t xml:space="preserve">Bevacizumab compared with macular laser grid photocoagulation for cystoid macular edema in branch retinal vein occlusion. </w:t>
      </w:r>
      <w:r w:rsidRPr="003B4F32">
        <w:t>Retina. 2009;29:511-5.</w:t>
      </w:r>
    </w:p>
    <w:p w14:paraId="697154E6" w14:textId="77777777" w:rsidR="003B4F32" w:rsidRPr="003B4F32" w:rsidRDefault="003B4F32" w:rsidP="003B4F32">
      <w:pPr>
        <w:pStyle w:val="ReferenceOrdered"/>
        <w:ind w:left="360"/>
      </w:pPr>
      <w:proofErr w:type="spellStart"/>
      <w:r w:rsidRPr="003D6811">
        <w:rPr>
          <w:lang w:val="fr-FR"/>
        </w:rPr>
        <w:t>Michaelides</w:t>
      </w:r>
      <w:proofErr w:type="spellEnd"/>
      <w:r w:rsidRPr="003D6811">
        <w:rPr>
          <w:lang w:val="fr-FR"/>
        </w:rPr>
        <w:t xml:space="preserve"> M, </w:t>
      </w:r>
      <w:proofErr w:type="spellStart"/>
      <w:r w:rsidRPr="003D6811">
        <w:rPr>
          <w:lang w:val="fr-FR"/>
        </w:rPr>
        <w:t>Kaines</w:t>
      </w:r>
      <w:proofErr w:type="spellEnd"/>
      <w:r w:rsidRPr="003D6811">
        <w:rPr>
          <w:lang w:val="fr-FR"/>
        </w:rPr>
        <w:t xml:space="preserve"> A, Hamilton RD, et al. </w:t>
      </w:r>
      <w:r w:rsidRPr="003B4F32">
        <w:t>A prospective randomized trial of intravitreal bevacizumab or laser therapy in the management of diabetic macular edema (BOLT Study) 12-month data: report 2. Ophthalmology. 2010;117:1078-1086.</w:t>
      </w:r>
    </w:p>
    <w:p w14:paraId="3BD2F5C3" w14:textId="77777777" w:rsidR="003B4F32" w:rsidRPr="003B4F32" w:rsidRDefault="003B4F32" w:rsidP="003B4F32">
      <w:pPr>
        <w:pStyle w:val="ReferenceOrdered"/>
        <w:ind w:left="360"/>
      </w:pPr>
      <w:proofErr w:type="spellStart"/>
      <w:r w:rsidRPr="003B4F32">
        <w:t>Mirshahi</w:t>
      </w:r>
      <w:proofErr w:type="spellEnd"/>
      <w:r w:rsidRPr="003B4F32">
        <w:t xml:space="preserve"> A, </w:t>
      </w:r>
      <w:proofErr w:type="spellStart"/>
      <w:r w:rsidRPr="003B4F32">
        <w:t>Roohipoor</w:t>
      </w:r>
      <w:proofErr w:type="spellEnd"/>
      <w:r w:rsidRPr="003B4F32">
        <w:t xml:space="preserve"> R, Lashay A, et al. Bevacizumab-augmented retinal laser photocoagulation in proliferative diabetic retinopathy: a randomized double-masked clinical trial. Eur J </w:t>
      </w:r>
      <w:proofErr w:type="spellStart"/>
      <w:r w:rsidRPr="003B4F32">
        <w:t>Ophthalmol</w:t>
      </w:r>
      <w:proofErr w:type="spellEnd"/>
      <w:r w:rsidRPr="003B4F32">
        <w:t>. 2008;18(2):263-269.</w:t>
      </w:r>
    </w:p>
    <w:p w14:paraId="272B1D7F" w14:textId="77777777" w:rsidR="003B4F32" w:rsidRPr="003B4F32" w:rsidRDefault="003B4F32" w:rsidP="003B4F32">
      <w:pPr>
        <w:pStyle w:val="ReferenceOrdered"/>
        <w:ind w:left="360"/>
      </w:pPr>
      <w:r w:rsidRPr="004E3035">
        <w:t xml:space="preserve">Yazdani S, </w:t>
      </w:r>
      <w:proofErr w:type="spellStart"/>
      <w:r w:rsidRPr="004E3035">
        <w:t>Hendi</w:t>
      </w:r>
      <w:proofErr w:type="spellEnd"/>
      <w:r w:rsidRPr="004E3035">
        <w:t xml:space="preserve"> K, </w:t>
      </w:r>
      <w:proofErr w:type="spellStart"/>
      <w:r w:rsidRPr="004E3035">
        <w:t>Pakravan</w:t>
      </w:r>
      <w:proofErr w:type="spellEnd"/>
      <w:r w:rsidRPr="004E3035">
        <w:t xml:space="preserve"> M, et al. </w:t>
      </w:r>
      <w:r w:rsidRPr="003B4F32">
        <w:t>Intravitreal bevacizumab for neovascular glaucoma: a randomized controlled trial. J Glaucoma. 2009;18(8):632-637.</w:t>
      </w:r>
    </w:p>
    <w:p w14:paraId="3C175AF1" w14:textId="77777777" w:rsidR="003B4F32" w:rsidRPr="003B4F32" w:rsidRDefault="003B4F32" w:rsidP="003B4F32">
      <w:pPr>
        <w:pStyle w:val="ReferenceOrdered"/>
        <w:ind w:left="360"/>
      </w:pPr>
      <w:proofErr w:type="spellStart"/>
      <w:r w:rsidRPr="003B4F32">
        <w:t>Mintz-Hittner</w:t>
      </w:r>
      <w:proofErr w:type="spellEnd"/>
      <w:r w:rsidRPr="003B4F32">
        <w:t xml:space="preserve"> HA, Kennedy KA, Chuang AZ, et al. Efficacy of intravitreal bevacizumab for stage 3+ retinopathy of prematurity. N Engl J Med. 2011;364(7):603-615.</w:t>
      </w:r>
    </w:p>
    <w:p w14:paraId="6708A62A" w14:textId="5AB1B96C" w:rsidR="003B4F32" w:rsidRPr="003B4F32" w:rsidRDefault="003B4F32" w:rsidP="003B4F32">
      <w:pPr>
        <w:pStyle w:val="ReferenceOrdered"/>
        <w:ind w:left="360"/>
      </w:pPr>
      <w:r w:rsidRPr="003B4F32">
        <w:t>American Academy of Ophthalmology Retinal/Vitreous Panel. Preferred Practice Pattern® Guidelines. Age-Related Macular Degeneration. San Francisco, CA: American Academy of Ophthalmology; 2019. Available at: https://www.aao.org/preferred-practice-pattern/age-related-macular-degeneration-ppp.</w:t>
      </w:r>
    </w:p>
    <w:p w14:paraId="51DB988F" w14:textId="6F234FD4" w:rsidR="003B4F32" w:rsidRPr="003B4F32" w:rsidRDefault="003B4F32" w:rsidP="003B4F32">
      <w:pPr>
        <w:pStyle w:val="ReferenceOrdered"/>
        <w:ind w:left="360"/>
      </w:pPr>
      <w:r w:rsidRPr="003B4F32">
        <w:t>American Academy of Ophthalmology Retinal/Vitreous Panel. Preferred Practice Pattern® Guidelines. Diabetic Retinopathy. San Francisco, CA: American Academy of Ophthalmology; 2019. Available at: https://www.aao.org/preferred-practice-pattern/diabetic-retinopathy-ppp.</w:t>
      </w:r>
    </w:p>
    <w:p w14:paraId="70789717" w14:textId="63B158F4" w:rsidR="003B4F32" w:rsidRPr="003B4F32" w:rsidRDefault="003B4F32" w:rsidP="003B4F32">
      <w:pPr>
        <w:pStyle w:val="ReferenceOrdered"/>
        <w:ind w:left="360"/>
      </w:pPr>
      <w:r w:rsidRPr="003B4F32">
        <w:t>American Academy of Ophthalmology Retinal/Vitreous Panel. Preferred Practice Pattern® Guidelines. Retinal Vein Occlusions. San Francisco, CA: American Academy of Ophthalmology; 2019. Available at: https://www.aao.org/preferred-practice-pattern/retinal-vein-occlusions-ppp.</w:t>
      </w:r>
    </w:p>
    <w:p w14:paraId="5D4931D5" w14:textId="25AE69E6" w:rsidR="003B4F32" w:rsidRPr="003B4F32" w:rsidRDefault="003B4F32" w:rsidP="003B4F32">
      <w:pPr>
        <w:pStyle w:val="ReferenceOrdered"/>
        <w:ind w:left="360"/>
      </w:pPr>
      <w:r w:rsidRPr="004E3035">
        <w:rPr>
          <w:lang w:val="nb-NO"/>
        </w:rPr>
        <w:t xml:space="preserve">VanderVeen DK, Melia M, Yang MB, et al. </w:t>
      </w:r>
      <w:r w:rsidRPr="003B4F32">
        <w:t>Anti-vascular endothelial growth factor therapy in primary treatment of type 1 retinopathy of prematurity: a report by the American Academy of Ophthalmology. Ophthalmology. 2017. May;124(5):619-633.</w:t>
      </w:r>
    </w:p>
    <w:p w14:paraId="5C09A88C" w14:textId="272B8EEA" w:rsidR="003B4F32" w:rsidRPr="003B4F32" w:rsidRDefault="003B4F32" w:rsidP="003B4F32">
      <w:pPr>
        <w:pStyle w:val="ReferenceOrdered"/>
        <w:ind w:left="360"/>
      </w:pPr>
      <w:r w:rsidRPr="003B4F32">
        <w:t xml:space="preserve">AHFS DI (Adult and Pediatric) [database online]. Hudson, OH: Lexi-Comp, Inc.; http://online.lexi.com/lco/action/index/dataset/complete_ashp [available with subscription]. Accessed </w:t>
      </w:r>
      <w:r w:rsidR="009546F6">
        <w:t>November</w:t>
      </w:r>
      <w:r w:rsidR="009546F6" w:rsidRPr="003B4F32">
        <w:t xml:space="preserve"> </w:t>
      </w:r>
      <w:r w:rsidRPr="003B4F32">
        <w:t>12, 2024.</w:t>
      </w:r>
    </w:p>
    <w:p w14:paraId="380AF643" w14:textId="4277BC1A" w:rsidR="003B4F32" w:rsidRPr="003B4F32" w:rsidRDefault="003B4F32">
      <w:pPr>
        <w:pStyle w:val="ReferenceOrdered"/>
        <w:ind w:left="360"/>
      </w:pPr>
      <w:r w:rsidRPr="003B4F32">
        <w:t>Yong M, Zhou M, Deng G. Photodynamic therapy versus anti-vascular endothelial growth factor agents for</w:t>
      </w:r>
      <w:r w:rsidR="002F1009">
        <w:t xml:space="preserve"> </w:t>
      </w:r>
      <w:r w:rsidRPr="003B4F32">
        <w:t xml:space="preserve">polypoidal choroidal vasculopathy: A meta-analysis. BMC </w:t>
      </w:r>
      <w:proofErr w:type="spellStart"/>
      <w:r w:rsidRPr="003B4F32">
        <w:t>Ophthalmol</w:t>
      </w:r>
      <w:proofErr w:type="spellEnd"/>
      <w:r w:rsidRPr="003B4F32">
        <w:t>. 2015;15:82.</w:t>
      </w:r>
    </w:p>
    <w:p w14:paraId="7836CA3F" w14:textId="3754A0FB" w:rsidR="003B4F32" w:rsidRPr="003B4F32" w:rsidRDefault="003B4F32">
      <w:pPr>
        <w:pStyle w:val="ReferenceOrdered"/>
        <w:ind w:left="360"/>
      </w:pPr>
      <w:r w:rsidRPr="003B4F32">
        <w:t>Kim JH, Kim JW, Lee TG, Lew YJ. Treatment outcomes in eyes with polypoidal choroidal vasculopathy</w:t>
      </w:r>
      <w:r w:rsidR="002F1009">
        <w:t xml:space="preserve"> </w:t>
      </w:r>
      <w:r w:rsidRPr="003B4F32">
        <w:t xml:space="preserve">with poor baseline visual acuity. J </w:t>
      </w:r>
      <w:proofErr w:type="spellStart"/>
      <w:r w:rsidRPr="003B4F32">
        <w:t>Ocul</w:t>
      </w:r>
      <w:proofErr w:type="spellEnd"/>
      <w:r w:rsidRPr="003B4F32">
        <w:t xml:space="preserve"> </w:t>
      </w:r>
      <w:proofErr w:type="spellStart"/>
      <w:r w:rsidRPr="003B4F32">
        <w:t>Pharmacol</w:t>
      </w:r>
      <w:proofErr w:type="spellEnd"/>
      <w:r w:rsidRPr="003B4F32">
        <w:t xml:space="preserve"> </w:t>
      </w:r>
      <w:proofErr w:type="spellStart"/>
      <w:r w:rsidRPr="003B4F32">
        <w:t>Ther</w:t>
      </w:r>
      <w:proofErr w:type="spellEnd"/>
      <w:r w:rsidRPr="003B4F32">
        <w:t>. 2015;31(4):241-247.</w:t>
      </w:r>
    </w:p>
    <w:p w14:paraId="501BCE05" w14:textId="4171DADD" w:rsidR="003B4F32" w:rsidRDefault="003B4F32">
      <w:pPr>
        <w:pStyle w:val="ReferenceOrdered"/>
        <w:ind w:left="360"/>
      </w:pPr>
      <w:r w:rsidRPr="003B4F32">
        <w:t xml:space="preserve">Oishi A. The evidence for the treatment of polypoidal choroidal vasculopathy. Nippon </w:t>
      </w:r>
      <w:proofErr w:type="spellStart"/>
      <w:r w:rsidRPr="003B4F32">
        <w:t>Ganka</w:t>
      </w:r>
      <w:proofErr w:type="spellEnd"/>
      <w:r w:rsidRPr="003B4F32">
        <w:t xml:space="preserve"> Gakkai</w:t>
      </w:r>
      <w:r w:rsidR="002F1009">
        <w:t xml:space="preserve"> </w:t>
      </w:r>
      <w:proofErr w:type="spellStart"/>
      <w:r w:rsidRPr="003B4F32">
        <w:t>Zasshi</w:t>
      </w:r>
      <w:proofErr w:type="spellEnd"/>
      <w:r w:rsidRPr="003B4F32">
        <w:t>. 2015;119(11):781-786.</w:t>
      </w:r>
    </w:p>
    <w:p w14:paraId="13B72632" w14:textId="6940053D" w:rsidR="003B4F32" w:rsidRPr="003B4F32" w:rsidRDefault="003B4F32">
      <w:pPr>
        <w:pStyle w:val="ReferenceOrdered"/>
        <w:ind w:left="360"/>
      </w:pPr>
      <w:r w:rsidRPr="003B4F32">
        <w:t>Chang YS, Kim JH, Kim KM, et al. Long-term outcomes of anti-vascular endothelial growth factor therapy</w:t>
      </w:r>
      <w:r w:rsidR="002F1009">
        <w:t xml:space="preserve"> </w:t>
      </w:r>
      <w:r w:rsidRPr="003B4F32">
        <w:t xml:space="preserve">for polypoidal choroidal vasculopathy. J </w:t>
      </w:r>
      <w:proofErr w:type="spellStart"/>
      <w:r w:rsidRPr="003B4F32">
        <w:t>Ocul</w:t>
      </w:r>
      <w:proofErr w:type="spellEnd"/>
      <w:r w:rsidRPr="003B4F32">
        <w:t xml:space="preserve"> </w:t>
      </w:r>
      <w:proofErr w:type="spellStart"/>
      <w:r w:rsidRPr="003B4F32">
        <w:t>Pharmacol</w:t>
      </w:r>
      <w:proofErr w:type="spellEnd"/>
      <w:r w:rsidRPr="003B4F32">
        <w:t xml:space="preserve"> </w:t>
      </w:r>
      <w:proofErr w:type="spellStart"/>
      <w:r w:rsidRPr="003B4F32">
        <w:t>Ther</w:t>
      </w:r>
      <w:proofErr w:type="spellEnd"/>
      <w:r w:rsidRPr="003B4F32">
        <w:t>. 2016;32(4):219-224.</w:t>
      </w:r>
    </w:p>
    <w:p w14:paraId="7441100C" w14:textId="5B902AEA" w:rsidR="003B4F32" w:rsidRPr="003B4F32" w:rsidRDefault="003B4F32" w:rsidP="003B4F32">
      <w:pPr>
        <w:pStyle w:val="ReferenceOrdered"/>
        <w:ind w:left="360"/>
      </w:pPr>
      <w:r w:rsidRPr="003B4F32">
        <w:t xml:space="preserve">National Comprehensive Cancer Network. NCCN Clinical Practice Guidelines in Oncology: Colon Cancer Version </w:t>
      </w:r>
      <w:r w:rsidR="0050464B">
        <w:t>5</w:t>
      </w:r>
      <w:r w:rsidRPr="003B4F32">
        <w:t>.</w:t>
      </w:r>
      <w:r w:rsidR="009546F6" w:rsidRPr="003B4F32">
        <w:t>202</w:t>
      </w:r>
      <w:r w:rsidR="009546F6">
        <w:t>4</w:t>
      </w:r>
      <w:r w:rsidRPr="003B4F32">
        <w:t xml:space="preserve">. https://www.nccn.org/professionals/physician_gls/pdf/colon.pdf. Accessed November </w:t>
      </w:r>
      <w:r w:rsidR="000D7088">
        <w:t>11</w:t>
      </w:r>
      <w:r w:rsidRPr="003B4F32">
        <w:t xml:space="preserve">, </w:t>
      </w:r>
      <w:r w:rsidR="009546F6" w:rsidRPr="003B4F32">
        <w:t>202</w:t>
      </w:r>
      <w:r w:rsidR="009546F6">
        <w:t>4</w:t>
      </w:r>
      <w:r w:rsidRPr="003B4F32">
        <w:t>.</w:t>
      </w:r>
    </w:p>
    <w:p w14:paraId="7F118BED" w14:textId="64B75A30" w:rsidR="003B4F32" w:rsidRPr="003B4F32" w:rsidRDefault="003B4F32" w:rsidP="003B4F32">
      <w:pPr>
        <w:pStyle w:val="ReferenceOrdered"/>
        <w:ind w:left="360"/>
      </w:pPr>
      <w:r w:rsidRPr="003B4F32">
        <w:t xml:space="preserve">National Comprehensive Cancer Network. NCCN Clinical Practice Guidelines in Oncology: Rectal Cancer Version </w:t>
      </w:r>
      <w:r w:rsidR="0050464B">
        <w:t>4</w:t>
      </w:r>
      <w:r w:rsidRPr="003B4F32">
        <w:t>.</w:t>
      </w:r>
      <w:r w:rsidR="009546F6" w:rsidRPr="003B4F32">
        <w:t>202</w:t>
      </w:r>
      <w:r w:rsidR="009546F6">
        <w:t>4</w:t>
      </w:r>
      <w:r w:rsidRPr="003B4F32">
        <w:t xml:space="preserve">. https://www.nccn.org/professionals/physician_gls/pdf/rectal.pdf. Accessed November </w:t>
      </w:r>
      <w:r w:rsidR="000D7088">
        <w:t>11</w:t>
      </w:r>
      <w:r w:rsidRPr="003B4F32">
        <w:t xml:space="preserve">, </w:t>
      </w:r>
      <w:r w:rsidR="009546F6" w:rsidRPr="003B4F32">
        <w:t>202</w:t>
      </w:r>
      <w:r w:rsidR="009546F6">
        <w:t>4</w:t>
      </w:r>
      <w:r w:rsidRPr="003B4F32">
        <w:t>.</w:t>
      </w:r>
    </w:p>
    <w:p w14:paraId="5F31EEC5" w14:textId="03D9132C" w:rsidR="003B4F32" w:rsidRPr="003B4F32" w:rsidRDefault="003B4F32" w:rsidP="003B4F32">
      <w:pPr>
        <w:pStyle w:val="ReferenceOrdered"/>
        <w:ind w:left="360"/>
      </w:pPr>
      <w:r w:rsidRPr="003B4F32">
        <w:t xml:space="preserve">National Comprehensive Cancer Network. NCCN Clinical Practice Guidelines in Oncology: Anal Carcinoma Version </w:t>
      </w:r>
      <w:r w:rsidR="0050464B">
        <w:t>1</w:t>
      </w:r>
      <w:r w:rsidRPr="003B4F32">
        <w:t>.</w:t>
      </w:r>
      <w:r w:rsidR="009546F6" w:rsidRPr="003B4F32">
        <w:t>202</w:t>
      </w:r>
      <w:r w:rsidR="009546F6">
        <w:t>4</w:t>
      </w:r>
      <w:r w:rsidRPr="003B4F32">
        <w:t xml:space="preserve">. https://www.nccn.org/professionals/physician_gls/pdf/anal.pdf. Accessed November </w:t>
      </w:r>
      <w:r w:rsidR="000D7088">
        <w:t>11</w:t>
      </w:r>
      <w:r w:rsidRPr="003B4F32">
        <w:t xml:space="preserve">, </w:t>
      </w:r>
      <w:r w:rsidR="009546F6" w:rsidRPr="003B4F32">
        <w:t>202</w:t>
      </w:r>
      <w:r w:rsidR="009546F6">
        <w:t>4</w:t>
      </w:r>
      <w:r w:rsidRPr="003B4F32">
        <w:t>.</w:t>
      </w:r>
    </w:p>
    <w:p w14:paraId="19A1D628" w14:textId="7AB36BF2" w:rsidR="003B4F32" w:rsidRDefault="003B4F32" w:rsidP="003B4F32">
      <w:pPr>
        <w:pStyle w:val="ReferenceOrdered"/>
        <w:ind w:left="360"/>
      </w:pPr>
      <w:bookmarkStart w:id="8" w:name="_Hlk56172524"/>
      <w:r w:rsidRPr="003B4F32">
        <w:t xml:space="preserve">Lexicomp [database online]. Hudson, OH: Lexi-Comp, Inc.; https://online.lexi.com/lco/action/home [available with subscription]. Accessed </w:t>
      </w:r>
      <w:bookmarkEnd w:id="8"/>
      <w:r w:rsidR="005E5CF4">
        <w:t>February</w:t>
      </w:r>
      <w:r w:rsidR="009546F6" w:rsidRPr="003B4F32">
        <w:t xml:space="preserve"> </w:t>
      </w:r>
      <w:r w:rsidR="005E5CF4">
        <w:t>19</w:t>
      </w:r>
      <w:r w:rsidRPr="003B4F32">
        <w:t>, 202</w:t>
      </w:r>
      <w:r w:rsidR="005E5CF4">
        <w:t>5</w:t>
      </w:r>
      <w:r w:rsidRPr="003B4F32">
        <w:t>.</w:t>
      </w:r>
    </w:p>
    <w:p w14:paraId="4C295FBC" w14:textId="11992995" w:rsidR="00E20A69" w:rsidRDefault="00E20A69" w:rsidP="00E20A69">
      <w:pPr>
        <w:pStyle w:val="ReferenceOrdered"/>
        <w:ind w:left="360"/>
      </w:pPr>
      <w:r w:rsidRPr="003B4F32">
        <w:t xml:space="preserve">National Comprehensive Cancer Network. NCCN Clinical Practice Guidelines in Oncology: </w:t>
      </w:r>
      <w:r w:rsidR="00BE6DEF">
        <w:t xml:space="preserve">Soft Tissue Sarcoma </w:t>
      </w:r>
      <w:r w:rsidRPr="003B4F32">
        <w:t xml:space="preserve">Version </w:t>
      </w:r>
      <w:r w:rsidR="00BE6DEF">
        <w:t>3</w:t>
      </w:r>
      <w:r w:rsidRPr="003B4F32">
        <w:t>.202</w:t>
      </w:r>
      <w:r>
        <w:t>4</w:t>
      </w:r>
      <w:r w:rsidRPr="003B4F32">
        <w:t>. https://www.nccn.org/professionals/physician_gls/pdf</w:t>
      </w:r>
      <w:r w:rsidR="00BE6DEF">
        <w:t>/sarcoma</w:t>
      </w:r>
      <w:r w:rsidRPr="003B4F32">
        <w:t xml:space="preserve">.pdf. Accessed November </w:t>
      </w:r>
      <w:r>
        <w:t>1</w:t>
      </w:r>
      <w:r w:rsidR="00BE6DEF">
        <w:t>9</w:t>
      </w:r>
      <w:r w:rsidRPr="003B4F32">
        <w:t>, 202</w:t>
      </w:r>
      <w:r>
        <w:t>4</w:t>
      </w:r>
      <w:r w:rsidRPr="003B4F32">
        <w:t>.</w:t>
      </w:r>
    </w:p>
    <w:p w14:paraId="0AFCC029" w14:textId="0E8B6B47" w:rsidR="00E57671" w:rsidRPr="003B4F32" w:rsidRDefault="00E57671" w:rsidP="00E57671">
      <w:pPr>
        <w:pStyle w:val="ReferenceOrdered"/>
        <w:ind w:left="360"/>
      </w:pPr>
      <w:proofErr w:type="spellStart"/>
      <w:r>
        <w:t>Jobevne</w:t>
      </w:r>
      <w:proofErr w:type="spellEnd"/>
      <w:r>
        <w:t xml:space="preserve"> [package insert]. Cambridge, MA: Biocon Biologics Inc.; April 2025.</w:t>
      </w:r>
    </w:p>
    <w:sectPr w:rsidR="00E57671" w:rsidRPr="003B4F32" w:rsidSect="00462CD6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48339" w14:textId="77777777" w:rsidR="006D0912" w:rsidRDefault="006D0912">
      <w:r>
        <w:separator/>
      </w:r>
    </w:p>
  </w:endnote>
  <w:endnote w:type="continuationSeparator" w:id="0">
    <w:p w14:paraId="2EB62E57" w14:textId="77777777" w:rsidR="006D0912" w:rsidRDefault="006D0912">
      <w:r>
        <w:continuationSeparator/>
      </w:r>
    </w:p>
  </w:endnote>
  <w:endnote w:type="continuationNotice" w:id="1">
    <w:p w14:paraId="4A657A04" w14:textId="77777777" w:rsidR="006D0912" w:rsidRDefault="006D0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87E96E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E35C3" w:rsidRPr="00AE35C3">
      <w:rPr>
        <w:rFonts w:cs="Arial"/>
        <w:noProof/>
        <w:sz w:val="16"/>
        <w:szCs w:val="16"/>
      </w:rPr>
      <w:t>Avastin</w:t>
    </w:r>
    <w:r w:rsidR="00AE35C3">
      <w:rPr>
        <w:rFonts w:cs="Arial"/>
        <w:noProof/>
        <w:snapToGrid w:val="0"/>
        <w:color w:val="000000"/>
        <w:sz w:val="16"/>
        <w:szCs w:val="16"/>
      </w:rPr>
      <w:t xml:space="preserve"> and </w:t>
    </w:r>
    <w:r w:rsidR="00AE35C3" w:rsidRPr="00AE35C3">
      <w:rPr>
        <w:rFonts w:cs="Arial"/>
        <w:noProof/>
        <w:sz w:val="16"/>
        <w:szCs w:val="16"/>
      </w:rPr>
      <w:t>Biosimilars</w:t>
    </w:r>
    <w:r w:rsidR="00AE35C3">
      <w:rPr>
        <w:rFonts w:cs="Arial"/>
        <w:noProof/>
        <w:snapToGrid w:val="0"/>
        <w:color w:val="000000"/>
        <w:sz w:val="16"/>
        <w:szCs w:val="16"/>
      </w:rPr>
      <w:t xml:space="preserve"> SGM 1891-A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9546F6" w:rsidRPr="00EC47B6">
      <w:rPr>
        <w:rFonts w:cs="Arial"/>
        <w:snapToGrid w:val="0"/>
        <w:color w:val="000000"/>
        <w:sz w:val="16"/>
      </w:rPr>
      <w:t>202</w:t>
    </w:r>
    <w:r w:rsidR="009546F6">
      <w:rPr>
        <w:rFonts w:cs="Arial"/>
        <w:snapToGrid w:val="0"/>
        <w:color w:val="000000"/>
        <w:sz w:val="16"/>
      </w:rPr>
      <w:t>5</w:t>
    </w:r>
    <w:r w:rsidR="009546F6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0ECA698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1EFE455" w:rsidR="00F75C81" w:rsidRPr="00AA1E6A" w:rsidRDefault="00C36B72" w:rsidP="007E127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DAA866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E35C3" w:rsidRPr="00AE35C3">
      <w:rPr>
        <w:rFonts w:cs="Arial"/>
        <w:noProof/>
        <w:sz w:val="16"/>
        <w:szCs w:val="16"/>
      </w:rPr>
      <w:t>Avastin</w:t>
    </w:r>
    <w:r w:rsidR="00AE35C3">
      <w:rPr>
        <w:rFonts w:cs="Arial"/>
        <w:noProof/>
        <w:snapToGrid w:val="0"/>
        <w:color w:val="000000"/>
        <w:sz w:val="16"/>
        <w:szCs w:val="16"/>
      </w:rPr>
      <w:t xml:space="preserve"> and </w:t>
    </w:r>
    <w:r w:rsidR="00AE35C3" w:rsidRPr="00AE35C3">
      <w:rPr>
        <w:rFonts w:cs="Arial"/>
        <w:noProof/>
        <w:sz w:val="16"/>
        <w:szCs w:val="16"/>
      </w:rPr>
      <w:t>Biosimilars</w:t>
    </w:r>
    <w:r w:rsidR="00AE35C3">
      <w:rPr>
        <w:rFonts w:cs="Arial"/>
        <w:noProof/>
        <w:snapToGrid w:val="0"/>
        <w:color w:val="000000"/>
        <w:sz w:val="16"/>
        <w:szCs w:val="16"/>
      </w:rPr>
      <w:t xml:space="preserve"> SGM 1891-A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9546F6" w:rsidRPr="00EC47B6">
      <w:rPr>
        <w:rFonts w:cs="Arial"/>
        <w:snapToGrid w:val="0"/>
        <w:color w:val="000000"/>
        <w:sz w:val="16"/>
      </w:rPr>
      <w:t>202</w:t>
    </w:r>
    <w:r w:rsidR="009546F6">
      <w:rPr>
        <w:rFonts w:cs="Arial"/>
        <w:snapToGrid w:val="0"/>
        <w:color w:val="000000"/>
        <w:sz w:val="16"/>
      </w:rPr>
      <w:t>5</w:t>
    </w:r>
    <w:r w:rsidR="009546F6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5BFBA12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B682275" w:rsidR="00ED04EC" w:rsidRPr="00F50D98" w:rsidRDefault="00F50D98" w:rsidP="007E127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0E366" w14:textId="77777777" w:rsidR="006D0912" w:rsidRDefault="006D0912">
      <w:r>
        <w:separator/>
      </w:r>
    </w:p>
  </w:footnote>
  <w:footnote w:type="continuationSeparator" w:id="0">
    <w:p w14:paraId="110BCFAA" w14:textId="77777777" w:rsidR="006D0912" w:rsidRDefault="006D0912">
      <w:r>
        <w:continuationSeparator/>
      </w:r>
    </w:p>
  </w:footnote>
  <w:footnote w:type="continuationNotice" w:id="1">
    <w:p w14:paraId="2C507FC4" w14:textId="77777777" w:rsidR="006D0912" w:rsidRDefault="006D0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10DB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10DB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6E891EF" w:rsidR="00ED04EC" w:rsidRPr="00410DB1" w:rsidRDefault="00410DB1" w:rsidP="00ED04EC">
          <w:pPr>
            <w:pStyle w:val="Header"/>
            <w:rPr>
              <w:rFonts w:cs="Arial"/>
              <w:sz w:val="16"/>
              <w:szCs w:val="16"/>
            </w:rPr>
          </w:pPr>
          <w:r w:rsidRPr="00410DB1">
            <w:rPr>
              <w:rFonts w:cs="Arial"/>
              <w:sz w:val="16"/>
              <w:szCs w:val="16"/>
            </w:rPr>
            <w:t>1891-A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607134"/>
    <w:multiLevelType w:val="hybridMultilevel"/>
    <w:tmpl w:val="7018E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81317"/>
    <w:multiLevelType w:val="hybridMultilevel"/>
    <w:tmpl w:val="3400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6E723C"/>
    <w:multiLevelType w:val="hybridMultilevel"/>
    <w:tmpl w:val="5B94A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B2BC2"/>
    <w:multiLevelType w:val="hybridMultilevel"/>
    <w:tmpl w:val="2FB6BF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E6031"/>
    <w:multiLevelType w:val="hybridMultilevel"/>
    <w:tmpl w:val="05FA9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FB0327"/>
    <w:multiLevelType w:val="hybridMultilevel"/>
    <w:tmpl w:val="1958C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A0745"/>
    <w:multiLevelType w:val="hybridMultilevel"/>
    <w:tmpl w:val="336E5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571738"/>
    <w:multiLevelType w:val="hybridMultilevel"/>
    <w:tmpl w:val="680AC3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C6A2D"/>
    <w:multiLevelType w:val="hybridMultilevel"/>
    <w:tmpl w:val="C8562B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6"/>
  </w:num>
  <w:num w:numId="20" w16cid:durableId="1066490929">
    <w:abstractNumId w:val="29"/>
  </w:num>
  <w:num w:numId="21" w16cid:durableId="411129190">
    <w:abstractNumId w:val="22"/>
  </w:num>
  <w:num w:numId="22" w16cid:durableId="571819456">
    <w:abstractNumId w:val="15"/>
  </w:num>
  <w:num w:numId="23" w16cid:durableId="1968972721">
    <w:abstractNumId w:val="25"/>
  </w:num>
  <w:num w:numId="24" w16cid:durableId="2098279953">
    <w:abstractNumId w:val="28"/>
  </w:num>
  <w:num w:numId="25" w16cid:durableId="1635410688">
    <w:abstractNumId w:val="26"/>
  </w:num>
  <w:num w:numId="26" w16cid:durableId="1997956416">
    <w:abstractNumId w:val="19"/>
  </w:num>
  <w:num w:numId="27" w16cid:durableId="287905263">
    <w:abstractNumId w:val="13"/>
  </w:num>
  <w:num w:numId="28" w16cid:durableId="1628928744">
    <w:abstractNumId w:val="24"/>
  </w:num>
  <w:num w:numId="29" w16cid:durableId="1399013190">
    <w:abstractNumId w:val="12"/>
  </w:num>
  <w:num w:numId="30" w16cid:durableId="348216433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15A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62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054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1CA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44E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4C2D"/>
    <w:rsid w:val="00094DF2"/>
    <w:rsid w:val="000957CE"/>
    <w:rsid w:val="00095B9C"/>
    <w:rsid w:val="0009781E"/>
    <w:rsid w:val="000A0CCE"/>
    <w:rsid w:val="000A1653"/>
    <w:rsid w:val="000A1ACD"/>
    <w:rsid w:val="000A1BB6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6F04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616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088"/>
    <w:rsid w:val="000D7ED8"/>
    <w:rsid w:val="000E01BA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E7D58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D4D"/>
    <w:rsid w:val="001244EB"/>
    <w:rsid w:val="00125550"/>
    <w:rsid w:val="001270B1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30A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A5C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F32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7B6"/>
    <w:rsid w:val="001A4C1C"/>
    <w:rsid w:val="001A4DBB"/>
    <w:rsid w:val="001A55B8"/>
    <w:rsid w:val="001A576D"/>
    <w:rsid w:val="001A57C5"/>
    <w:rsid w:val="001A5905"/>
    <w:rsid w:val="001A6053"/>
    <w:rsid w:val="001A70D5"/>
    <w:rsid w:val="001A7761"/>
    <w:rsid w:val="001A7FCB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14D"/>
    <w:rsid w:val="001D536B"/>
    <w:rsid w:val="001D56F3"/>
    <w:rsid w:val="001D595E"/>
    <w:rsid w:val="001D5AA2"/>
    <w:rsid w:val="001D694B"/>
    <w:rsid w:val="001E0D36"/>
    <w:rsid w:val="001E22E7"/>
    <w:rsid w:val="001E43E4"/>
    <w:rsid w:val="001E577A"/>
    <w:rsid w:val="001E637E"/>
    <w:rsid w:val="001E66EE"/>
    <w:rsid w:val="001E679E"/>
    <w:rsid w:val="001E6A86"/>
    <w:rsid w:val="001E6A96"/>
    <w:rsid w:val="001E6C72"/>
    <w:rsid w:val="001E6D9E"/>
    <w:rsid w:val="001E6FB8"/>
    <w:rsid w:val="001E7C7E"/>
    <w:rsid w:val="001F031E"/>
    <w:rsid w:val="001F0F10"/>
    <w:rsid w:val="001F11C0"/>
    <w:rsid w:val="001F120A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A37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B5B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B93"/>
    <w:rsid w:val="00292E08"/>
    <w:rsid w:val="00293003"/>
    <w:rsid w:val="00293574"/>
    <w:rsid w:val="00294324"/>
    <w:rsid w:val="002946D4"/>
    <w:rsid w:val="002947C0"/>
    <w:rsid w:val="002965CE"/>
    <w:rsid w:val="002968B3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290E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5D5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009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61A"/>
    <w:rsid w:val="00333878"/>
    <w:rsid w:val="00333FEE"/>
    <w:rsid w:val="003357AB"/>
    <w:rsid w:val="00335805"/>
    <w:rsid w:val="003363E7"/>
    <w:rsid w:val="003364EB"/>
    <w:rsid w:val="00336873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3D"/>
    <w:rsid w:val="00347C02"/>
    <w:rsid w:val="00350DF1"/>
    <w:rsid w:val="0035213E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A53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6728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67F"/>
    <w:rsid w:val="003B4BC1"/>
    <w:rsid w:val="003B4F32"/>
    <w:rsid w:val="003B4FB6"/>
    <w:rsid w:val="003B5A8C"/>
    <w:rsid w:val="003B5C47"/>
    <w:rsid w:val="003B6158"/>
    <w:rsid w:val="003B7DE9"/>
    <w:rsid w:val="003C09E1"/>
    <w:rsid w:val="003C1EA0"/>
    <w:rsid w:val="003C2846"/>
    <w:rsid w:val="003C2DBA"/>
    <w:rsid w:val="003C2F46"/>
    <w:rsid w:val="003C3B92"/>
    <w:rsid w:val="003C3EB1"/>
    <w:rsid w:val="003C47E1"/>
    <w:rsid w:val="003C4CD4"/>
    <w:rsid w:val="003C5F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811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1E9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0DB1"/>
    <w:rsid w:val="00411195"/>
    <w:rsid w:val="00411413"/>
    <w:rsid w:val="004117F5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17CC6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27E98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6CB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CD6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1CF6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5C3"/>
    <w:rsid w:val="0048476C"/>
    <w:rsid w:val="0048493C"/>
    <w:rsid w:val="004849F7"/>
    <w:rsid w:val="00484A5A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777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100"/>
    <w:rsid w:val="004C03AC"/>
    <w:rsid w:val="004C0A3F"/>
    <w:rsid w:val="004C32BE"/>
    <w:rsid w:val="004C3F91"/>
    <w:rsid w:val="004C4493"/>
    <w:rsid w:val="004C45E2"/>
    <w:rsid w:val="004C4D0C"/>
    <w:rsid w:val="004C53B2"/>
    <w:rsid w:val="004C56ED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1FA"/>
    <w:rsid w:val="004E16CE"/>
    <w:rsid w:val="004E197E"/>
    <w:rsid w:val="004E1CD5"/>
    <w:rsid w:val="004E1EEE"/>
    <w:rsid w:val="004E3035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2AF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64B"/>
    <w:rsid w:val="005047D6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384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0979"/>
    <w:rsid w:val="0058115C"/>
    <w:rsid w:val="0058173B"/>
    <w:rsid w:val="005820B6"/>
    <w:rsid w:val="00582153"/>
    <w:rsid w:val="005828B5"/>
    <w:rsid w:val="00582B42"/>
    <w:rsid w:val="00582DDE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97F1F"/>
    <w:rsid w:val="005A015C"/>
    <w:rsid w:val="005A04AA"/>
    <w:rsid w:val="005A07C9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90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CF4"/>
    <w:rsid w:val="005E5EF1"/>
    <w:rsid w:val="005E6A1A"/>
    <w:rsid w:val="005E7635"/>
    <w:rsid w:val="005F0A5B"/>
    <w:rsid w:val="005F10FC"/>
    <w:rsid w:val="005F1A16"/>
    <w:rsid w:val="005F2E73"/>
    <w:rsid w:val="005F3979"/>
    <w:rsid w:val="005F3DBD"/>
    <w:rsid w:val="005F4CD7"/>
    <w:rsid w:val="005F557C"/>
    <w:rsid w:val="005F5B66"/>
    <w:rsid w:val="005F5BCB"/>
    <w:rsid w:val="005F5BD4"/>
    <w:rsid w:val="005F5EDE"/>
    <w:rsid w:val="005F6216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955"/>
    <w:rsid w:val="00606727"/>
    <w:rsid w:val="00606DBB"/>
    <w:rsid w:val="006077A7"/>
    <w:rsid w:val="00607959"/>
    <w:rsid w:val="0060798E"/>
    <w:rsid w:val="00610149"/>
    <w:rsid w:val="00610F93"/>
    <w:rsid w:val="00610FBE"/>
    <w:rsid w:val="006125A8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1F73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78D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912"/>
    <w:rsid w:val="006D0FA8"/>
    <w:rsid w:val="006D1263"/>
    <w:rsid w:val="006D171C"/>
    <w:rsid w:val="006D21AA"/>
    <w:rsid w:val="006D23BA"/>
    <w:rsid w:val="006D24CA"/>
    <w:rsid w:val="006D341B"/>
    <w:rsid w:val="006D3542"/>
    <w:rsid w:val="006D4AC7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2AE7"/>
    <w:rsid w:val="006E3E7B"/>
    <w:rsid w:val="006E3F80"/>
    <w:rsid w:val="006E423D"/>
    <w:rsid w:val="006E4C56"/>
    <w:rsid w:val="006E53C6"/>
    <w:rsid w:val="006E53FA"/>
    <w:rsid w:val="006E55CD"/>
    <w:rsid w:val="006E7677"/>
    <w:rsid w:val="006E7E43"/>
    <w:rsid w:val="006E7FCD"/>
    <w:rsid w:val="006F01E6"/>
    <w:rsid w:val="006F05FA"/>
    <w:rsid w:val="006F214B"/>
    <w:rsid w:val="006F2262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B9B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6D13"/>
    <w:rsid w:val="00727843"/>
    <w:rsid w:val="0073079A"/>
    <w:rsid w:val="00731FCA"/>
    <w:rsid w:val="007325C8"/>
    <w:rsid w:val="00732B93"/>
    <w:rsid w:val="0073324D"/>
    <w:rsid w:val="0073362E"/>
    <w:rsid w:val="00735381"/>
    <w:rsid w:val="007363C9"/>
    <w:rsid w:val="007363FE"/>
    <w:rsid w:val="00736D6F"/>
    <w:rsid w:val="00737807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11B"/>
    <w:rsid w:val="00775C9E"/>
    <w:rsid w:val="007775AA"/>
    <w:rsid w:val="00777708"/>
    <w:rsid w:val="007778B0"/>
    <w:rsid w:val="00777BDA"/>
    <w:rsid w:val="0078141B"/>
    <w:rsid w:val="00781D02"/>
    <w:rsid w:val="007828E3"/>
    <w:rsid w:val="00782BB0"/>
    <w:rsid w:val="007831D6"/>
    <w:rsid w:val="00785111"/>
    <w:rsid w:val="00785A2E"/>
    <w:rsid w:val="00785F21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1A1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107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27C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A89"/>
    <w:rsid w:val="007F11E6"/>
    <w:rsid w:val="007F126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5FE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3FD5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D89"/>
    <w:rsid w:val="00866B5D"/>
    <w:rsid w:val="00866BCA"/>
    <w:rsid w:val="00866CFE"/>
    <w:rsid w:val="00871063"/>
    <w:rsid w:val="00871B95"/>
    <w:rsid w:val="008728CD"/>
    <w:rsid w:val="00873215"/>
    <w:rsid w:val="008733E5"/>
    <w:rsid w:val="0087374A"/>
    <w:rsid w:val="00873A8E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44F"/>
    <w:rsid w:val="008B1DDA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418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48C0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11B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684A"/>
    <w:rsid w:val="00937266"/>
    <w:rsid w:val="00937732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6F6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0F7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F3D"/>
    <w:rsid w:val="0097384C"/>
    <w:rsid w:val="009738C0"/>
    <w:rsid w:val="00974258"/>
    <w:rsid w:val="00974ED3"/>
    <w:rsid w:val="009751AC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8A0"/>
    <w:rsid w:val="00985A7D"/>
    <w:rsid w:val="00985EC8"/>
    <w:rsid w:val="00985F93"/>
    <w:rsid w:val="00986BF8"/>
    <w:rsid w:val="00986C82"/>
    <w:rsid w:val="00987FEF"/>
    <w:rsid w:val="009911F3"/>
    <w:rsid w:val="00991319"/>
    <w:rsid w:val="009919D8"/>
    <w:rsid w:val="0099311D"/>
    <w:rsid w:val="00993552"/>
    <w:rsid w:val="00993B39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145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398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87C55"/>
    <w:rsid w:val="00A9069E"/>
    <w:rsid w:val="00A923EA"/>
    <w:rsid w:val="00A931D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7F7"/>
    <w:rsid w:val="00AA3F55"/>
    <w:rsid w:val="00AA46E5"/>
    <w:rsid w:val="00AA46E6"/>
    <w:rsid w:val="00AA4E3C"/>
    <w:rsid w:val="00AA5FEE"/>
    <w:rsid w:val="00AA6624"/>
    <w:rsid w:val="00AA6998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DB5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35C3"/>
    <w:rsid w:val="00AE3EF2"/>
    <w:rsid w:val="00AE41B1"/>
    <w:rsid w:val="00AE43E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1BF9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366"/>
    <w:rsid w:val="00B07922"/>
    <w:rsid w:val="00B10E8F"/>
    <w:rsid w:val="00B1104E"/>
    <w:rsid w:val="00B113E6"/>
    <w:rsid w:val="00B11A2A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F74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A87"/>
    <w:rsid w:val="00B4086C"/>
    <w:rsid w:val="00B40FC0"/>
    <w:rsid w:val="00B413B0"/>
    <w:rsid w:val="00B4256D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7A5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2FE7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E72"/>
    <w:rsid w:val="00B81FE6"/>
    <w:rsid w:val="00B8206A"/>
    <w:rsid w:val="00B827C8"/>
    <w:rsid w:val="00B82F32"/>
    <w:rsid w:val="00B82F4A"/>
    <w:rsid w:val="00B83047"/>
    <w:rsid w:val="00B834A4"/>
    <w:rsid w:val="00B836B0"/>
    <w:rsid w:val="00B84072"/>
    <w:rsid w:val="00B84F18"/>
    <w:rsid w:val="00B853B4"/>
    <w:rsid w:val="00B85877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9A6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F7F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2E1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32D"/>
    <w:rsid w:val="00BD5061"/>
    <w:rsid w:val="00BD589A"/>
    <w:rsid w:val="00BD5D53"/>
    <w:rsid w:val="00BD672B"/>
    <w:rsid w:val="00BD6ED4"/>
    <w:rsid w:val="00BD77B0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631"/>
    <w:rsid w:val="00BE5586"/>
    <w:rsid w:val="00BE5599"/>
    <w:rsid w:val="00BE6DEF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38C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07D"/>
    <w:rsid w:val="00C7148F"/>
    <w:rsid w:val="00C72424"/>
    <w:rsid w:val="00C73E8B"/>
    <w:rsid w:val="00C74CD4"/>
    <w:rsid w:val="00C74F5C"/>
    <w:rsid w:val="00C75C02"/>
    <w:rsid w:val="00C76B12"/>
    <w:rsid w:val="00C76BFE"/>
    <w:rsid w:val="00C77681"/>
    <w:rsid w:val="00C77D90"/>
    <w:rsid w:val="00C808F0"/>
    <w:rsid w:val="00C809E5"/>
    <w:rsid w:val="00C80BD1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17B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0BC7"/>
    <w:rsid w:val="00CB1279"/>
    <w:rsid w:val="00CB13DF"/>
    <w:rsid w:val="00CB2D12"/>
    <w:rsid w:val="00CB2E36"/>
    <w:rsid w:val="00CB38E8"/>
    <w:rsid w:val="00CB3CAD"/>
    <w:rsid w:val="00CB4985"/>
    <w:rsid w:val="00CB4E22"/>
    <w:rsid w:val="00CB523A"/>
    <w:rsid w:val="00CB5D84"/>
    <w:rsid w:val="00CB63DB"/>
    <w:rsid w:val="00CB677D"/>
    <w:rsid w:val="00CB6D83"/>
    <w:rsid w:val="00CB6EDF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D71"/>
    <w:rsid w:val="00CD3C27"/>
    <w:rsid w:val="00CD4084"/>
    <w:rsid w:val="00CD59BF"/>
    <w:rsid w:val="00CD6E3C"/>
    <w:rsid w:val="00CD74BA"/>
    <w:rsid w:val="00CE0A7F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CE6"/>
    <w:rsid w:val="00CF2D11"/>
    <w:rsid w:val="00CF3649"/>
    <w:rsid w:val="00CF3A89"/>
    <w:rsid w:val="00CF3E91"/>
    <w:rsid w:val="00CF41C9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1AA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846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61A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2F4E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5C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069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31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A69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8D1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0BE"/>
    <w:rsid w:val="00E57671"/>
    <w:rsid w:val="00E60126"/>
    <w:rsid w:val="00E61AD9"/>
    <w:rsid w:val="00E625E8"/>
    <w:rsid w:val="00E62B44"/>
    <w:rsid w:val="00E62D48"/>
    <w:rsid w:val="00E62DE9"/>
    <w:rsid w:val="00E630B7"/>
    <w:rsid w:val="00E634DA"/>
    <w:rsid w:val="00E63D4A"/>
    <w:rsid w:val="00E6537C"/>
    <w:rsid w:val="00E6556D"/>
    <w:rsid w:val="00E6597E"/>
    <w:rsid w:val="00E6610F"/>
    <w:rsid w:val="00E66185"/>
    <w:rsid w:val="00E662CD"/>
    <w:rsid w:val="00E66BBE"/>
    <w:rsid w:val="00E66EFD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D7A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2FA0"/>
    <w:rsid w:val="00E83A86"/>
    <w:rsid w:val="00E850F3"/>
    <w:rsid w:val="00E8686D"/>
    <w:rsid w:val="00E86A27"/>
    <w:rsid w:val="00E87749"/>
    <w:rsid w:val="00E87B42"/>
    <w:rsid w:val="00E87C7C"/>
    <w:rsid w:val="00E90E7D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3BF"/>
    <w:rsid w:val="00EA3622"/>
    <w:rsid w:val="00EA36F5"/>
    <w:rsid w:val="00EA3852"/>
    <w:rsid w:val="00EA39E9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48E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4E5C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5B28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62E9"/>
    <w:rsid w:val="00EF7611"/>
    <w:rsid w:val="00EF76EF"/>
    <w:rsid w:val="00EF7741"/>
    <w:rsid w:val="00EF78D0"/>
    <w:rsid w:val="00EF7913"/>
    <w:rsid w:val="00EF796D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45C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7C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25D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86F"/>
    <w:rsid w:val="00F83AB3"/>
    <w:rsid w:val="00F848E9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57"/>
    <w:rsid w:val="00FA2BAA"/>
    <w:rsid w:val="00FA2D58"/>
    <w:rsid w:val="00FA2D7B"/>
    <w:rsid w:val="00FA3092"/>
    <w:rsid w:val="00FA336F"/>
    <w:rsid w:val="00FA3911"/>
    <w:rsid w:val="00FA4309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1CF3"/>
    <w:rsid w:val="00FB2B42"/>
    <w:rsid w:val="00FB3310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991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763"/>
    <w:rsid w:val="00FC7852"/>
    <w:rsid w:val="00FC7867"/>
    <w:rsid w:val="00FC78C0"/>
    <w:rsid w:val="00FC7C8B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9CF"/>
    <w:rsid w:val="00FD6A19"/>
    <w:rsid w:val="00FD75BC"/>
    <w:rsid w:val="00FD7AB8"/>
    <w:rsid w:val="00FE057F"/>
    <w:rsid w:val="00FE06ED"/>
    <w:rsid w:val="00FE0C63"/>
    <w:rsid w:val="00FE248E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433"/>
    <w:rsid w:val="00FF2F94"/>
    <w:rsid w:val="00FF35C5"/>
    <w:rsid w:val="00FF37B2"/>
    <w:rsid w:val="00FF530E"/>
    <w:rsid w:val="00FF5C3C"/>
    <w:rsid w:val="00FF66BF"/>
    <w:rsid w:val="00FF7695"/>
    <w:rsid w:val="29729D5D"/>
    <w:rsid w:val="513D362D"/>
    <w:rsid w:val="62C780E2"/>
    <w:rsid w:val="6D1DC6A4"/>
    <w:rsid w:val="6F66C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41E208C-4917-4806-BB4E-408FD00A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C9117B"/>
    <w:rPr>
      <w:color w:val="2B579A"/>
      <w:shd w:val="clear" w:color="auto" w:fill="E1DFDD"/>
    </w:rPr>
  </w:style>
  <w:style w:type="paragraph" w:customStyle="1" w:styleId="ReferenceInternalOrdered">
    <w:name w:val="Reference Internal Ordered"/>
    <w:basedOn w:val="ReferenceOrdered"/>
    <w:rsid w:val="00214A37"/>
    <w:pPr>
      <w:numPr>
        <w:numId w:val="30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71A0A9-7222-4DEA-98DE-0B434B06A76B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2308</Words>
  <Characters>13160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27</vt:i4>
      </vt:variant>
    </vt:vector>
  </HeadingPairs>
  <TitlesOfParts>
    <vt:vector size="28" baseType="lpstr">
      <vt:lpstr>Avastin and bevacizumab biosimilars 1891-A SGM 2024b</vt:lpstr>
      <vt:lpstr>Specialty Guideline Management Avastin and Biosimilars</vt:lpstr>
      <vt:lpstr>    Products Referenced by this Document</vt:lpstr>
      <vt:lpstr>    Indications</vt:lpstr>
      <vt:lpstr>        FDA-Approved Indications1-6,32</vt:lpstr>
      <vt:lpstr>        Compendial Uses7-31</vt:lpstr>
      <vt:lpstr>    Coverage Criteria</vt:lpstr>
      <vt:lpstr>        Ophthalmic Disorders8-26,30</vt:lpstr>
      <vt:lpstr>        Colorectal Cancer (CRC)1-8,27,28,29,32</vt:lpstr>
      <vt:lpstr>        Small Bowel Adenocarcinoma7</vt:lpstr>
      <vt:lpstr>        Ampullary Adenocarcinoma7</vt:lpstr>
      <vt:lpstr>        Non-Small Cell Lung Cancer (NSCLC)1-7,32</vt:lpstr>
      <vt:lpstr>        CNS Cancer1-7,32</vt:lpstr>
      <vt:lpstr>        Ovarian Cancer/Fallopian Tube Cancer/Primary Peritoneal Cancer1-7,31</vt:lpstr>
      <vt:lpstr>        Uterine Neoplasms/Endometrial Carcinoma7,30</vt:lpstr>
      <vt:lpstr>        Cervical Cancer1-7,32</vt:lpstr>
      <vt:lpstr>        Vaginal Cancer7</vt:lpstr>
      <vt:lpstr>        Renal Cell Carcinoma1-7,32</vt:lpstr>
      <vt:lpstr>        Soft Tissue Sarcoma7,31</vt:lpstr>
      <vt:lpstr>        Mesothelioma7,8</vt:lpstr>
      <vt:lpstr>        Vulvar Carcinoma7</vt:lpstr>
      <vt:lpstr>        Hepatocellular Carcinoma1,7</vt:lpstr>
      <vt:lpstr>    Continuation of Therapy</vt:lpstr>
      <vt:lpstr>        Ophthalmic Disorders</vt:lpstr>
      <vt:lpstr>        All Other Indications</vt:lpstr>
      <vt:lpstr>    References</vt:lpstr>
      <vt:lpstr>    Internal References</vt:lpstr>
      <vt:lpstr>    Document History</vt:lpstr>
    </vt:vector>
  </TitlesOfParts>
  <Company>PCS Health Systems</Company>
  <LinksUpToDate>false</LinksUpToDate>
  <CharactersWithSpaces>15438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Avastin and Biosimilars SGM 1891-A</dc:title>
  <dc:subject/>
  <dc:creator>CVS Caremark</dc:creator>
  <cp:keywords/>
  <cp:lastModifiedBy>Huerta, Linda M</cp:lastModifiedBy>
  <cp:revision>3</cp:revision>
  <cp:lastPrinted>2024-04-15T18:47:00Z</cp:lastPrinted>
  <dcterms:created xsi:type="dcterms:W3CDTF">2025-06-30T20:22:00Z</dcterms:created>
  <dcterms:modified xsi:type="dcterms:W3CDTF">2025-06-30T20:23:00Z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682800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